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609" w:rsidRDefault="005D0609" w:rsidP="00D94E70">
      <w:pPr>
        <w:jc w:val="center"/>
        <w:rPr>
          <w:b/>
        </w:rPr>
      </w:pPr>
    </w:p>
    <w:p w:rsidR="00B61889" w:rsidRDefault="00B61889" w:rsidP="00D94E70">
      <w:pPr>
        <w:jc w:val="center"/>
        <w:rPr>
          <w:b/>
        </w:rPr>
      </w:pPr>
    </w:p>
    <w:p w:rsidR="00B61889" w:rsidRDefault="00B61889" w:rsidP="00D94E70">
      <w:pPr>
        <w:jc w:val="center"/>
        <w:rPr>
          <w:b/>
        </w:rPr>
      </w:pPr>
    </w:p>
    <w:p w:rsidR="005D0609" w:rsidRDefault="005D0609" w:rsidP="00D94E70">
      <w:pPr>
        <w:jc w:val="center"/>
        <w:rPr>
          <w:b/>
        </w:rPr>
      </w:pPr>
    </w:p>
    <w:p w:rsidR="005D0609" w:rsidRDefault="005D0609" w:rsidP="00D94E70">
      <w:pPr>
        <w:jc w:val="center"/>
        <w:rPr>
          <w:b/>
        </w:rPr>
      </w:pPr>
    </w:p>
    <w:p w:rsidR="005D0609" w:rsidRPr="00F7105B" w:rsidRDefault="005D0609" w:rsidP="00D94E70">
      <w:pPr>
        <w:jc w:val="center"/>
        <w:rPr>
          <w:b/>
          <w:sz w:val="28"/>
          <w:szCs w:val="28"/>
        </w:rPr>
      </w:pPr>
    </w:p>
    <w:p w:rsidR="00D94E70" w:rsidRPr="00F7105B" w:rsidRDefault="00D94E70" w:rsidP="00D94E70">
      <w:pPr>
        <w:jc w:val="center"/>
        <w:rPr>
          <w:b/>
          <w:sz w:val="28"/>
          <w:szCs w:val="28"/>
        </w:rPr>
      </w:pPr>
      <w:r w:rsidRPr="00F7105B">
        <w:rPr>
          <w:b/>
          <w:sz w:val="28"/>
          <w:szCs w:val="28"/>
        </w:rPr>
        <w:t>Marihuana and DUI Drivers in Fatal Crashes by Crash Factor and Age</w:t>
      </w:r>
    </w:p>
    <w:p w:rsidR="00D94E70" w:rsidRPr="00B61889" w:rsidRDefault="00D94E70" w:rsidP="00D94E70">
      <w:pPr>
        <w:jc w:val="center"/>
      </w:pPr>
      <w:r w:rsidRPr="00B61889">
        <w:t>Alfred Crancer, B.S.</w:t>
      </w:r>
      <w:r w:rsidR="007C3792" w:rsidRPr="00B61889">
        <w:t>, M.A</w:t>
      </w:r>
      <w:r w:rsidRPr="00B61889">
        <w:t>.</w:t>
      </w:r>
      <w:r w:rsidR="007C3792" w:rsidRPr="00B61889">
        <w:t>; Alan</w:t>
      </w:r>
      <w:r w:rsidRPr="00B61889">
        <w:t xml:space="preserve"> Crancer, B.S.</w:t>
      </w:r>
      <w:r w:rsidR="007C3792" w:rsidRPr="00B61889">
        <w:t>; Phillip</w:t>
      </w:r>
      <w:r w:rsidRPr="00B61889">
        <w:t xml:space="preserve"> Drum, Pharm.D.   </w:t>
      </w:r>
    </w:p>
    <w:p w:rsidR="005D0609" w:rsidRDefault="005D0609" w:rsidP="005D0609">
      <w:pPr>
        <w:jc w:val="center"/>
        <w:rPr>
          <w:b/>
        </w:rPr>
      </w:pPr>
    </w:p>
    <w:p w:rsidR="005D0609" w:rsidRDefault="005D0609" w:rsidP="005D0609">
      <w:pPr>
        <w:jc w:val="center"/>
        <w:rPr>
          <w:b/>
        </w:rPr>
      </w:pPr>
    </w:p>
    <w:p w:rsidR="005D0609" w:rsidRDefault="005D0609" w:rsidP="005D0609">
      <w:pPr>
        <w:jc w:val="center"/>
        <w:rPr>
          <w:b/>
        </w:rPr>
      </w:pPr>
    </w:p>
    <w:p w:rsidR="005D0609" w:rsidRPr="005D0609" w:rsidRDefault="005D0609" w:rsidP="005D0609">
      <w:pPr>
        <w:jc w:val="center"/>
        <w:rPr>
          <w:b/>
        </w:rPr>
      </w:pPr>
      <w:r w:rsidRPr="005D0609">
        <w:rPr>
          <w:b/>
        </w:rPr>
        <w:t>Abstract</w:t>
      </w:r>
    </w:p>
    <w:p w:rsidR="005D0609" w:rsidRDefault="005D0609" w:rsidP="005D0609">
      <w:r>
        <w:t xml:space="preserve">Marijuana, legally available to less than 10% of all drivers and already involved in 15% of fatal crashes, at ½ the level of alcohol at 31%, shows that it is a very dangerous hallucinogen. Marihuana and alcohol impaired drivers were found to be speeding and to veer off the road and overturn. The median age of marihuana drivers was 6 years younger than DUI drivers. </w:t>
      </w:r>
    </w:p>
    <w:p w:rsidR="005D0609" w:rsidRPr="005D0609" w:rsidRDefault="005D0609" w:rsidP="005D0609">
      <w:r>
        <w:t xml:space="preserve">The data in this study suggests that the increasing legalization of marihuana will result in a tsunami of </w:t>
      </w:r>
      <w:r>
        <w:rPr>
          <w:color w:val="000000"/>
        </w:rPr>
        <w:t xml:space="preserve">marihuana-induced fatalities. </w:t>
      </w:r>
      <w:r>
        <w:t>It is not a harmless hallucinogen, but one that may soon rival alcohol as the leading cause of preventable traffic fatalities. 2014 data for this study was from the NHTSA FARS Query System.</w:t>
      </w:r>
    </w:p>
    <w:p w:rsidR="005D0609" w:rsidRDefault="005D0609" w:rsidP="005D0609">
      <w:pPr>
        <w:rPr>
          <w:b/>
        </w:rPr>
      </w:pPr>
    </w:p>
    <w:p w:rsidR="005D0609" w:rsidRDefault="005D0609" w:rsidP="005D0609">
      <w:pPr>
        <w:rPr>
          <w:b/>
        </w:rPr>
      </w:pPr>
    </w:p>
    <w:p w:rsidR="005D0609" w:rsidRDefault="005D0609" w:rsidP="005D0609">
      <w:pPr>
        <w:rPr>
          <w:b/>
        </w:rPr>
      </w:pPr>
    </w:p>
    <w:p w:rsidR="005D0609" w:rsidRDefault="005D0609" w:rsidP="005D0609">
      <w:pPr>
        <w:rPr>
          <w:b/>
        </w:rPr>
      </w:pPr>
    </w:p>
    <w:p w:rsidR="005D0609" w:rsidRDefault="005D0609" w:rsidP="005D0609">
      <w:pPr>
        <w:rPr>
          <w:b/>
        </w:rPr>
      </w:pPr>
    </w:p>
    <w:p w:rsidR="005D0609" w:rsidRPr="00D94E70" w:rsidRDefault="005D0609" w:rsidP="005D0609">
      <w:pPr>
        <w:rPr>
          <w:b/>
        </w:rPr>
      </w:pPr>
      <w:r w:rsidRPr="00D94E70">
        <w:rPr>
          <w:b/>
        </w:rPr>
        <w:t>Purpose and Background</w:t>
      </w:r>
      <w:r w:rsidRPr="005D0609">
        <w:rPr>
          <w:b/>
        </w:rPr>
        <w:t xml:space="preserve"> </w:t>
      </w:r>
      <w:r>
        <w:rPr>
          <w:b/>
        </w:rPr>
        <w:t xml:space="preserve">                          </w:t>
      </w:r>
      <w:r w:rsidR="00B61889">
        <w:rPr>
          <w:b/>
        </w:rPr>
        <w:tab/>
      </w:r>
      <w:r w:rsidR="00B61889">
        <w:rPr>
          <w:b/>
        </w:rPr>
        <w:tab/>
      </w:r>
      <w:r w:rsidR="00B61889">
        <w:rPr>
          <w:b/>
        </w:rPr>
        <w:tab/>
      </w:r>
      <w:r w:rsidR="00B61889">
        <w:rPr>
          <w:b/>
        </w:rPr>
        <w:tab/>
      </w:r>
      <w:r w:rsidR="00B61889">
        <w:rPr>
          <w:b/>
        </w:rPr>
        <w:tab/>
      </w:r>
      <w:r w:rsidR="00B61889">
        <w:rPr>
          <w:b/>
        </w:rPr>
        <w:tab/>
      </w:r>
      <w:r w:rsidR="00B61889">
        <w:rPr>
          <w:b/>
        </w:rPr>
        <w:tab/>
        <w:t>1</w:t>
      </w:r>
      <w:r>
        <w:rPr>
          <w:b/>
        </w:rPr>
        <w:t xml:space="preserve">                                                                                                                                          </w:t>
      </w:r>
      <w:r w:rsidRPr="00D94E70">
        <w:rPr>
          <w:b/>
        </w:rPr>
        <w:t>First Harmful Event leading to Fatal Crash</w:t>
      </w:r>
      <w:r w:rsidRPr="005D0609">
        <w:rPr>
          <w:b/>
        </w:rPr>
        <w:t xml:space="preserve"> </w:t>
      </w:r>
      <w:r>
        <w:rPr>
          <w:b/>
        </w:rPr>
        <w:t xml:space="preserve">     </w:t>
      </w:r>
      <w:r w:rsidR="00B61889">
        <w:rPr>
          <w:b/>
        </w:rPr>
        <w:tab/>
      </w:r>
      <w:r w:rsidR="00B61889">
        <w:rPr>
          <w:b/>
        </w:rPr>
        <w:tab/>
      </w:r>
      <w:r w:rsidR="00B61889">
        <w:rPr>
          <w:b/>
        </w:rPr>
        <w:tab/>
      </w:r>
      <w:r w:rsidR="00B61889">
        <w:rPr>
          <w:b/>
        </w:rPr>
        <w:tab/>
      </w:r>
      <w:r w:rsidR="00B61889">
        <w:rPr>
          <w:b/>
        </w:rPr>
        <w:tab/>
      </w:r>
      <w:r w:rsidR="00B61889">
        <w:rPr>
          <w:b/>
        </w:rPr>
        <w:tab/>
      </w:r>
      <w:r w:rsidR="00B61889">
        <w:rPr>
          <w:b/>
        </w:rPr>
        <w:tab/>
        <w:t>1</w:t>
      </w:r>
      <w:r>
        <w:rPr>
          <w:b/>
        </w:rPr>
        <w:t xml:space="preserve">                                                                                                                                   </w:t>
      </w:r>
      <w:r w:rsidRPr="00D94E70">
        <w:rPr>
          <w:b/>
        </w:rPr>
        <w:t>Age Differences for Marihuana and DUI Drivers</w:t>
      </w:r>
      <w:r>
        <w:rPr>
          <w:b/>
        </w:rPr>
        <w:t xml:space="preserve">          </w:t>
      </w:r>
      <w:r w:rsidR="00B61889">
        <w:rPr>
          <w:b/>
        </w:rPr>
        <w:tab/>
      </w:r>
      <w:r w:rsidR="00B61889">
        <w:rPr>
          <w:b/>
        </w:rPr>
        <w:tab/>
      </w:r>
      <w:r w:rsidR="00B61889">
        <w:rPr>
          <w:b/>
        </w:rPr>
        <w:tab/>
      </w:r>
      <w:r w:rsidR="00B61889">
        <w:rPr>
          <w:b/>
        </w:rPr>
        <w:tab/>
      </w:r>
      <w:r w:rsidR="00B61889">
        <w:rPr>
          <w:b/>
        </w:rPr>
        <w:tab/>
      </w:r>
      <w:r w:rsidR="00B61889">
        <w:rPr>
          <w:b/>
        </w:rPr>
        <w:tab/>
        <w:t>2</w:t>
      </w:r>
      <w:r>
        <w:rPr>
          <w:b/>
        </w:rPr>
        <w:t xml:space="preserve">                                                                                                                                </w:t>
      </w:r>
      <w:r w:rsidRPr="00D94E70">
        <w:rPr>
          <w:b/>
        </w:rPr>
        <w:t>Availability and Use of Marihuana and Alcohol by Drivers</w:t>
      </w:r>
      <w:r>
        <w:rPr>
          <w:b/>
        </w:rPr>
        <w:t xml:space="preserve">       </w:t>
      </w:r>
      <w:r w:rsidR="00B61889">
        <w:rPr>
          <w:b/>
        </w:rPr>
        <w:tab/>
      </w:r>
      <w:r w:rsidR="00B61889">
        <w:rPr>
          <w:b/>
        </w:rPr>
        <w:tab/>
      </w:r>
      <w:r w:rsidR="00B61889">
        <w:rPr>
          <w:b/>
        </w:rPr>
        <w:tab/>
      </w:r>
      <w:r w:rsidR="00B61889">
        <w:rPr>
          <w:b/>
        </w:rPr>
        <w:tab/>
      </w:r>
      <w:r w:rsidR="00B61889">
        <w:rPr>
          <w:b/>
        </w:rPr>
        <w:tab/>
        <w:t>3</w:t>
      </w:r>
      <w:r>
        <w:rPr>
          <w:b/>
        </w:rPr>
        <w:t xml:space="preserve">                                                                                                 </w:t>
      </w:r>
      <w:r w:rsidRPr="00D94E70">
        <w:rPr>
          <w:b/>
        </w:rPr>
        <w:t>Summary</w:t>
      </w:r>
      <w:r w:rsidR="00B61889">
        <w:rPr>
          <w:b/>
        </w:rPr>
        <w:tab/>
      </w:r>
      <w:r w:rsidR="00B61889">
        <w:rPr>
          <w:b/>
        </w:rPr>
        <w:tab/>
      </w:r>
      <w:r w:rsidR="00B61889">
        <w:rPr>
          <w:b/>
        </w:rPr>
        <w:tab/>
      </w:r>
      <w:r w:rsidR="00B61889">
        <w:rPr>
          <w:b/>
        </w:rPr>
        <w:tab/>
      </w:r>
      <w:r w:rsidR="00B61889">
        <w:rPr>
          <w:b/>
        </w:rPr>
        <w:tab/>
      </w:r>
      <w:r w:rsidR="00B61889">
        <w:rPr>
          <w:b/>
        </w:rPr>
        <w:tab/>
      </w:r>
      <w:r w:rsidR="00B61889">
        <w:rPr>
          <w:b/>
        </w:rPr>
        <w:tab/>
      </w:r>
      <w:r w:rsidR="00B61889">
        <w:rPr>
          <w:b/>
        </w:rPr>
        <w:tab/>
      </w:r>
      <w:r w:rsidR="00B61889">
        <w:rPr>
          <w:b/>
        </w:rPr>
        <w:tab/>
      </w:r>
      <w:r w:rsidR="00B61889">
        <w:rPr>
          <w:b/>
        </w:rPr>
        <w:tab/>
      </w:r>
      <w:r w:rsidR="00B61889">
        <w:rPr>
          <w:b/>
        </w:rPr>
        <w:tab/>
        <w:t>3</w:t>
      </w:r>
    </w:p>
    <w:p w:rsidR="005D0609" w:rsidRPr="00D94E70" w:rsidRDefault="005D0609" w:rsidP="005D0609">
      <w:pPr>
        <w:rPr>
          <w:b/>
        </w:rPr>
      </w:pPr>
      <w:r>
        <w:rPr>
          <w:b/>
        </w:rPr>
        <w:t xml:space="preserve">               </w:t>
      </w:r>
    </w:p>
    <w:p w:rsidR="005D0609" w:rsidRPr="00D94E70" w:rsidRDefault="005D0609" w:rsidP="005D0609">
      <w:pPr>
        <w:rPr>
          <w:b/>
        </w:rPr>
      </w:pPr>
    </w:p>
    <w:p w:rsidR="005D0609" w:rsidRPr="00D94E70" w:rsidRDefault="005D0609" w:rsidP="005D0609">
      <w:pPr>
        <w:rPr>
          <w:b/>
        </w:rPr>
      </w:pPr>
    </w:p>
    <w:p w:rsidR="005D0609" w:rsidRPr="00D94E70" w:rsidRDefault="005D0609" w:rsidP="005D0609">
      <w:pPr>
        <w:rPr>
          <w:b/>
        </w:rPr>
      </w:pPr>
    </w:p>
    <w:p w:rsidR="005D0609" w:rsidRDefault="005D0609" w:rsidP="005D0609">
      <w:pPr>
        <w:jc w:val="center"/>
        <w:rPr>
          <w:b/>
        </w:rPr>
      </w:pPr>
    </w:p>
    <w:p w:rsidR="005D0609" w:rsidRDefault="005D0609" w:rsidP="005D0609">
      <w:pPr>
        <w:jc w:val="center"/>
        <w:rPr>
          <w:b/>
        </w:rPr>
      </w:pPr>
    </w:p>
    <w:p w:rsidR="005D0609" w:rsidRPr="00B61889" w:rsidRDefault="005D0609" w:rsidP="005D0609">
      <w:pPr>
        <w:jc w:val="center"/>
        <w:rPr>
          <w:b/>
          <w:sz w:val="24"/>
          <w:szCs w:val="24"/>
        </w:rPr>
      </w:pPr>
      <w:r w:rsidRPr="00B61889">
        <w:rPr>
          <w:b/>
          <w:sz w:val="24"/>
          <w:szCs w:val="24"/>
        </w:rPr>
        <w:lastRenderedPageBreak/>
        <w:t>Marihuana and DUI Drivers in Fatal Crashes by Crash Factor and Age</w:t>
      </w:r>
    </w:p>
    <w:p w:rsidR="005D0609" w:rsidRPr="00B61889" w:rsidRDefault="005D0609" w:rsidP="005D0609">
      <w:pPr>
        <w:jc w:val="center"/>
      </w:pPr>
      <w:r w:rsidRPr="00B61889">
        <w:t xml:space="preserve">Alfred Crancer, B.S., M.A.; Alan Crancer, B.S.; Phillip Drum, Pharm.D.   </w:t>
      </w:r>
    </w:p>
    <w:p w:rsidR="005D0609" w:rsidRDefault="005D0609" w:rsidP="00D94E70">
      <w:pPr>
        <w:rPr>
          <w:b/>
        </w:rPr>
      </w:pPr>
    </w:p>
    <w:p w:rsidR="00D94E70" w:rsidRPr="00D94E70" w:rsidRDefault="00D94E70" w:rsidP="00D94E70">
      <w:pPr>
        <w:rPr>
          <w:b/>
        </w:rPr>
      </w:pPr>
      <w:r w:rsidRPr="00D94E70">
        <w:rPr>
          <w:b/>
        </w:rPr>
        <w:t>Purpose and Background</w:t>
      </w:r>
    </w:p>
    <w:p w:rsidR="00D94E70" w:rsidRDefault="00D94E70" w:rsidP="00D94E70">
      <w:r>
        <w:t xml:space="preserve">This report compares fatal crash drivers impaired by marihuana and alcohol to drivers with no alcohol for selected crash factors and age to identify factors that may be useful to enforcement to reduce fatal crash involvement.  The information might also be of interest to those considering the pros and cons of legalizing marihuana in their state. </w:t>
      </w:r>
    </w:p>
    <w:p w:rsidR="00D94E70" w:rsidRPr="00D94E70" w:rsidRDefault="00D94E70" w:rsidP="00D94E70">
      <w:pPr>
        <w:rPr>
          <w:b/>
        </w:rPr>
      </w:pPr>
      <w:r w:rsidRPr="00D94E70">
        <w:rPr>
          <w:b/>
        </w:rPr>
        <w:t>First Harmful Event leading to Fatal Crash</w:t>
      </w:r>
    </w:p>
    <w:p w:rsidR="0080703F" w:rsidRDefault="00D94E70" w:rsidP="0080703F">
      <w:pPr>
        <w:spacing w:after="0"/>
      </w:pPr>
      <w:r>
        <w:t xml:space="preserve">Table 1 summarizes US 2014 fatal crash data for the “First Harmful Event” from the crash reports for three groups of drivers. </w:t>
      </w:r>
    </w:p>
    <w:p w:rsidR="0080703F" w:rsidRDefault="0080703F" w:rsidP="0080703F">
      <w:pPr>
        <w:spacing w:after="0"/>
      </w:pPr>
      <w:r>
        <w:t xml:space="preserve">    1. </w:t>
      </w:r>
      <w:r w:rsidR="00D94E70">
        <w:t xml:space="preserve">Drivers with marihuana (THC) in their system from Drug Test 1, </w:t>
      </w:r>
    </w:p>
    <w:p w:rsidR="00D94E70" w:rsidRDefault="0080703F" w:rsidP="0080703F">
      <w:pPr>
        <w:spacing w:after="0"/>
      </w:pPr>
      <w:r>
        <w:t xml:space="preserve">    2. </w:t>
      </w:r>
      <w:r w:rsidR="00D94E70">
        <w:t xml:space="preserve">Drivers with 0.08+ BAC, and </w:t>
      </w:r>
    </w:p>
    <w:p w:rsidR="00D94E70" w:rsidRDefault="0080703F" w:rsidP="0080703F">
      <w:pPr>
        <w:spacing w:after="0"/>
      </w:pPr>
      <w:r>
        <w:t xml:space="preserve">    3. </w:t>
      </w:r>
      <w:r w:rsidR="00D94E70">
        <w:t>Drivers with no alcohol, at 0.0% BAC.</w:t>
      </w:r>
    </w:p>
    <w:p w:rsidR="00D94E70" w:rsidRDefault="00D94E70" w:rsidP="00D94E70">
      <w:r>
        <w:t>The time frame for the data is 6pm to 6am to more closely resemble the time in which the bulk of marihuana and alcohol impaired fatal crashes occur. Data for 24 hours overweighs the results for no alcohol drivers hitting pedestrians and vehicles due to more traffic during the daylight hours.</w:t>
      </w:r>
    </w:p>
    <w:p w:rsidR="00D94E70" w:rsidRDefault="00D94E70" w:rsidP="00D94E70">
      <w:r>
        <w:t>Fatal crash drivers with marihuana in system are statistically and significantly different than non-drinking drivers with no alcohol, and are very similar to drivers 08+.</w:t>
      </w:r>
    </w:p>
    <w:p w:rsidR="00D94E70" w:rsidRDefault="00D94E70" w:rsidP="00D94E70">
      <w:r>
        <w:t xml:space="preserve">Non-drinking drivers with no alcohol in their system are more likely to collide with other vehicles, pedestrians, and bicyclists while marihuana and alcohol impaired drivers are more likely to rollover/overturn and veer off the road into posts, trees and into ditches. Further, the marihuana and alcohol impaired drivers were speeding much more often than non-drinking drivers.  </w:t>
      </w:r>
    </w:p>
    <w:p w:rsidR="00AD676A" w:rsidRDefault="00D94E70" w:rsidP="00D94E70">
      <w:r>
        <w:t>This furthers the evidence that marihuana drivers have a speed perception problem along with an attention span problem that quite often leads to going off the road, striking non-moving objects and rolling over.</w:t>
      </w:r>
    </w:p>
    <w:tbl>
      <w:tblPr>
        <w:tblW w:w="10315" w:type="dxa"/>
        <w:jc w:val="center"/>
        <w:tblLook w:val="04A0" w:firstRow="1" w:lastRow="0" w:firstColumn="1" w:lastColumn="0" w:noHBand="0" w:noVBand="1"/>
      </w:tblPr>
      <w:tblGrid>
        <w:gridCol w:w="2205"/>
        <w:gridCol w:w="874"/>
        <w:gridCol w:w="882"/>
        <w:gridCol w:w="910"/>
        <w:gridCol w:w="875"/>
        <w:gridCol w:w="1051"/>
        <w:gridCol w:w="910"/>
        <w:gridCol w:w="598"/>
        <w:gridCol w:w="958"/>
        <w:gridCol w:w="1052"/>
      </w:tblGrid>
      <w:tr w:rsidR="00D94E70" w:rsidRPr="00D94E70" w:rsidTr="00BA0C6E">
        <w:trPr>
          <w:trHeight w:val="746"/>
          <w:jc w:val="center"/>
        </w:trPr>
        <w:tc>
          <w:tcPr>
            <w:tcW w:w="10315" w:type="dxa"/>
            <w:gridSpan w:val="10"/>
            <w:tcBorders>
              <w:top w:val="single" w:sz="12" w:space="0" w:color="auto"/>
              <w:left w:val="single" w:sz="12" w:space="0" w:color="auto"/>
              <w:bottom w:val="single" w:sz="12" w:space="0" w:color="auto"/>
              <w:right w:val="single" w:sz="12" w:space="0" w:color="000000"/>
            </w:tcBorders>
            <w:shd w:val="clear" w:color="auto" w:fill="auto"/>
            <w:vAlign w:val="center"/>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 xml:space="preserve">           Table 1.  First Harmful Event and Speeding for Drivers in Passenger Vehicle/ Light Truck Fatal Crashes 6pm to 6am, with No Alcohol, 08+, and Marihuana, 2014 FARS Data</w:t>
            </w:r>
          </w:p>
        </w:tc>
      </w:tr>
      <w:tr w:rsidR="00D94E70" w:rsidRPr="00D94E70" w:rsidTr="00BA0C6E">
        <w:trPr>
          <w:trHeight w:val="278"/>
          <w:jc w:val="center"/>
        </w:trPr>
        <w:tc>
          <w:tcPr>
            <w:tcW w:w="2205" w:type="dxa"/>
            <w:vMerge w:val="restart"/>
            <w:tcBorders>
              <w:top w:val="nil"/>
              <w:left w:val="single" w:sz="12" w:space="0" w:color="auto"/>
              <w:bottom w:val="single" w:sz="12" w:space="0" w:color="000000"/>
              <w:right w:val="nil"/>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First Harmful Event</w:t>
            </w:r>
          </w:p>
        </w:tc>
        <w:tc>
          <w:tcPr>
            <w:tcW w:w="2666" w:type="dxa"/>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No Alcohol</w:t>
            </w:r>
          </w:p>
        </w:tc>
        <w:tc>
          <w:tcPr>
            <w:tcW w:w="2836" w:type="dxa"/>
            <w:gridSpan w:val="3"/>
            <w:tcBorders>
              <w:top w:val="single" w:sz="12" w:space="0" w:color="auto"/>
              <w:left w:val="nil"/>
              <w:bottom w:val="single" w:sz="12" w:space="0" w:color="auto"/>
              <w:right w:val="single" w:sz="8" w:space="0" w:color="000000"/>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Drivers 08+</w:t>
            </w:r>
          </w:p>
        </w:tc>
        <w:tc>
          <w:tcPr>
            <w:tcW w:w="2606" w:type="dxa"/>
            <w:gridSpan w:val="3"/>
            <w:tcBorders>
              <w:top w:val="single" w:sz="12" w:space="0" w:color="auto"/>
              <w:left w:val="nil"/>
              <w:bottom w:val="single" w:sz="12" w:space="0" w:color="auto"/>
              <w:right w:val="single" w:sz="12" w:space="0" w:color="000000"/>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Marihuana (Drug test 1)</w:t>
            </w:r>
          </w:p>
        </w:tc>
      </w:tr>
      <w:tr w:rsidR="00D94E70" w:rsidRPr="00D94E70" w:rsidTr="00BA0C6E">
        <w:trPr>
          <w:trHeight w:val="278"/>
          <w:jc w:val="center"/>
        </w:trPr>
        <w:tc>
          <w:tcPr>
            <w:tcW w:w="2205" w:type="dxa"/>
            <w:vMerge/>
            <w:tcBorders>
              <w:top w:val="nil"/>
              <w:left w:val="single" w:sz="12" w:space="0" w:color="auto"/>
              <w:bottom w:val="single" w:sz="12" w:space="0" w:color="000000"/>
              <w:right w:val="nil"/>
            </w:tcBorders>
            <w:vAlign w:val="center"/>
            <w:hideMark/>
          </w:tcPr>
          <w:p w:rsidR="00D94E70" w:rsidRPr="00D94E70" w:rsidRDefault="00D94E70" w:rsidP="00D94E70">
            <w:pPr>
              <w:spacing w:after="0" w:line="240" w:lineRule="auto"/>
              <w:rPr>
                <w:rFonts w:ascii="Calibri" w:eastAsia="Times New Roman" w:hAnsi="Calibri" w:cs="Times New Roman"/>
                <w:b/>
                <w:bCs/>
                <w:color w:val="000000"/>
              </w:rPr>
            </w:pPr>
          </w:p>
        </w:tc>
        <w:tc>
          <w:tcPr>
            <w:tcW w:w="874" w:type="dxa"/>
            <w:tcBorders>
              <w:top w:val="nil"/>
              <w:left w:val="single" w:sz="12" w:space="0" w:color="auto"/>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w:t>
            </w:r>
          </w:p>
        </w:tc>
        <w:tc>
          <w:tcPr>
            <w:tcW w:w="882" w:type="dxa"/>
            <w:tcBorders>
              <w:top w:val="nil"/>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w:t>
            </w:r>
          </w:p>
        </w:tc>
        <w:tc>
          <w:tcPr>
            <w:tcW w:w="909" w:type="dxa"/>
            <w:tcBorders>
              <w:top w:val="nil"/>
              <w:left w:val="nil"/>
              <w:bottom w:val="single" w:sz="12" w:space="0" w:color="auto"/>
              <w:right w:val="single" w:sz="12" w:space="0" w:color="auto"/>
            </w:tcBorders>
            <w:shd w:val="clear" w:color="auto" w:fill="auto"/>
            <w:noWrap/>
            <w:vAlign w:val="bottom"/>
            <w:hideMark/>
          </w:tcPr>
          <w:p w:rsidR="00D94E70" w:rsidRPr="00D94E70" w:rsidRDefault="00D94E70" w:rsidP="00D94E70">
            <w:pPr>
              <w:spacing w:after="0" w:line="240" w:lineRule="auto"/>
              <w:rPr>
                <w:rFonts w:ascii="Calibri" w:eastAsia="Times New Roman" w:hAnsi="Calibri" w:cs="Times New Roman"/>
                <w:color w:val="000000"/>
              </w:rPr>
            </w:pPr>
            <w:r w:rsidRPr="00D94E70">
              <w:rPr>
                <w:rFonts w:ascii="Calibri" w:eastAsia="Times New Roman" w:hAnsi="Calibri" w:cs="Times New Roman"/>
                <w:color w:val="000000"/>
              </w:rPr>
              <w:t> </w:t>
            </w:r>
          </w:p>
        </w:tc>
        <w:tc>
          <w:tcPr>
            <w:tcW w:w="875" w:type="dxa"/>
            <w:tcBorders>
              <w:top w:val="nil"/>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w:t>
            </w:r>
          </w:p>
        </w:tc>
        <w:tc>
          <w:tcPr>
            <w:tcW w:w="1051" w:type="dxa"/>
            <w:tcBorders>
              <w:top w:val="nil"/>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w:t>
            </w:r>
          </w:p>
        </w:tc>
        <w:tc>
          <w:tcPr>
            <w:tcW w:w="909" w:type="dxa"/>
            <w:tcBorders>
              <w:top w:val="nil"/>
              <w:left w:val="nil"/>
              <w:bottom w:val="single" w:sz="12" w:space="0" w:color="auto"/>
              <w:right w:val="single" w:sz="8" w:space="0" w:color="auto"/>
            </w:tcBorders>
            <w:shd w:val="clear" w:color="auto" w:fill="auto"/>
            <w:noWrap/>
            <w:vAlign w:val="bottom"/>
            <w:hideMark/>
          </w:tcPr>
          <w:p w:rsidR="00D94E70" w:rsidRPr="00D94E70" w:rsidRDefault="00D94E70" w:rsidP="00D94E70">
            <w:pPr>
              <w:spacing w:after="0" w:line="240" w:lineRule="auto"/>
              <w:rPr>
                <w:rFonts w:ascii="Calibri" w:eastAsia="Times New Roman" w:hAnsi="Calibri" w:cs="Times New Roman"/>
                <w:color w:val="000000"/>
              </w:rPr>
            </w:pPr>
            <w:r w:rsidRPr="00D94E70">
              <w:rPr>
                <w:rFonts w:ascii="Calibri" w:eastAsia="Times New Roman" w:hAnsi="Calibri" w:cs="Times New Roman"/>
                <w:color w:val="000000"/>
              </w:rPr>
              <w:t> </w:t>
            </w:r>
          </w:p>
        </w:tc>
        <w:tc>
          <w:tcPr>
            <w:tcW w:w="597" w:type="dxa"/>
            <w:tcBorders>
              <w:top w:val="nil"/>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w:t>
            </w:r>
          </w:p>
        </w:tc>
        <w:tc>
          <w:tcPr>
            <w:tcW w:w="958" w:type="dxa"/>
            <w:tcBorders>
              <w:top w:val="nil"/>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w:t>
            </w:r>
          </w:p>
        </w:tc>
        <w:tc>
          <w:tcPr>
            <w:tcW w:w="1051" w:type="dxa"/>
            <w:tcBorders>
              <w:top w:val="nil"/>
              <w:left w:val="nil"/>
              <w:bottom w:val="single" w:sz="12" w:space="0" w:color="auto"/>
              <w:right w:val="single" w:sz="12" w:space="0" w:color="auto"/>
            </w:tcBorders>
            <w:shd w:val="clear" w:color="auto" w:fill="auto"/>
            <w:noWrap/>
            <w:vAlign w:val="bottom"/>
            <w:hideMark/>
          </w:tcPr>
          <w:p w:rsidR="00D94E70" w:rsidRPr="00D94E70" w:rsidRDefault="00D94E70" w:rsidP="00D94E70">
            <w:pPr>
              <w:spacing w:after="0" w:line="240" w:lineRule="auto"/>
              <w:rPr>
                <w:rFonts w:ascii="Calibri" w:eastAsia="Times New Roman" w:hAnsi="Calibri" w:cs="Times New Roman"/>
                <w:color w:val="000000"/>
              </w:rPr>
            </w:pPr>
            <w:r w:rsidRPr="00D94E70">
              <w:rPr>
                <w:rFonts w:ascii="Calibri" w:eastAsia="Times New Roman" w:hAnsi="Calibri" w:cs="Times New Roman"/>
                <w:color w:val="000000"/>
              </w:rPr>
              <w:t> </w:t>
            </w:r>
          </w:p>
        </w:tc>
      </w:tr>
      <w:tr w:rsidR="00D94E70" w:rsidRPr="00D94E70" w:rsidTr="00BA0C6E">
        <w:trPr>
          <w:trHeight w:val="265"/>
          <w:jc w:val="center"/>
        </w:trPr>
        <w:tc>
          <w:tcPr>
            <w:tcW w:w="2205" w:type="dxa"/>
            <w:tcBorders>
              <w:top w:val="nil"/>
              <w:left w:val="single" w:sz="12" w:space="0" w:color="auto"/>
              <w:bottom w:val="single" w:sz="4" w:space="0" w:color="auto"/>
              <w:right w:val="nil"/>
            </w:tcBorders>
            <w:shd w:val="clear" w:color="auto" w:fill="auto"/>
            <w:noWrap/>
            <w:vAlign w:val="bottom"/>
            <w:hideMark/>
          </w:tcPr>
          <w:p w:rsidR="00D94E70" w:rsidRPr="00D94E70" w:rsidRDefault="00D94E70" w:rsidP="00D94E70">
            <w:pPr>
              <w:spacing w:after="0" w:line="240" w:lineRule="auto"/>
              <w:rPr>
                <w:rFonts w:ascii="Calibri" w:eastAsia="Times New Roman" w:hAnsi="Calibri" w:cs="Times New Roman"/>
                <w:b/>
                <w:bCs/>
                <w:color w:val="000000"/>
              </w:rPr>
            </w:pPr>
            <w:r w:rsidRPr="00D94E70">
              <w:rPr>
                <w:rFonts w:ascii="Calibri" w:eastAsia="Times New Roman" w:hAnsi="Calibri" w:cs="Times New Roman"/>
                <w:b/>
                <w:bCs/>
                <w:color w:val="000000"/>
              </w:rPr>
              <w:t>Hit Motor Vehicle</w:t>
            </w:r>
          </w:p>
        </w:tc>
        <w:tc>
          <w:tcPr>
            <w:tcW w:w="874" w:type="dxa"/>
            <w:tcBorders>
              <w:top w:val="nil"/>
              <w:left w:val="single" w:sz="12" w:space="0" w:color="auto"/>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1,766</w:t>
            </w:r>
          </w:p>
        </w:tc>
        <w:tc>
          <w:tcPr>
            <w:tcW w:w="882" w:type="dxa"/>
            <w:tcBorders>
              <w:top w:val="nil"/>
              <w:left w:val="nil"/>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FF0000"/>
              </w:rPr>
            </w:pPr>
            <w:r w:rsidRPr="00D94E70">
              <w:rPr>
                <w:rFonts w:ascii="Calibri" w:eastAsia="Times New Roman" w:hAnsi="Calibri" w:cs="Times New Roman"/>
                <w:b/>
                <w:bCs/>
                <w:color w:val="FF0000"/>
              </w:rPr>
              <w:t>44.3%</w:t>
            </w:r>
          </w:p>
        </w:tc>
        <w:tc>
          <w:tcPr>
            <w:tcW w:w="909" w:type="dxa"/>
            <w:tcBorders>
              <w:top w:val="nil"/>
              <w:left w:val="nil"/>
              <w:bottom w:val="single" w:sz="4" w:space="0" w:color="auto"/>
              <w:right w:val="single" w:sz="12"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FF0000"/>
              </w:rPr>
            </w:pPr>
            <w:r w:rsidRPr="00D94E70">
              <w:rPr>
                <w:rFonts w:ascii="Calibri" w:eastAsia="Times New Roman" w:hAnsi="Calibri" w:cs="Times New Roman"/>
                <w:color w:val="FF0000"/>
              </w:rPr>
              <w:t>higher</w:t>
            </w:r>
          </w:p>
        </w:tc>
        <w:tc>
          <w:tcPr>
            <w:tcW w:w="875" w:type="dxa"/>
            <w:tcBorders>
              <w:top w:val="nil"/>
              <w:left w:val="nil"/>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1,050</w:t>
            </w:r>
          </w:p>
        </w:tc>
        <w:tc>
          <w:tcPr>
            <w:tcW w:w="1051" w:type="dxa"/>
            <w:tcBorders>
              <w:top w:val="nil"/>
              <w:left w:val="nil"/>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26.0%</w:t>
            </w:r>
          </w:p>
        </w:tc>
        <w:tc>
          <w:tcPr>
            <w:tcW w:w="909" w:type="dxa"/>
            <w:tcBorders>
              <w:top w:val="nil"/>
              <w:left w:val="nil"/>
              <w:bottom w:val="single" w:sz="4" w:space="0" w:color="auto"/>
              <w:right w:val="single" w:sz="8"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lower</w:t>
            </w:r>
          </w:p>
        </w:tc>
        <w:tc>
          <w:tcPr>
            <w:tcW w:w="597" w:type="dxa"/>
            <w:tcBorders>
              <w:top w:val="nil"/>
              <w:left w:val="nil"/>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307</w:t>
            </w:r>
          </w:p>
        </w:tc>
        <w:tc>
          <w:tcPr>
            <w:tcW w:w="958" w:type="dxa"/>
            <w:tcBorders>
              <w:top w:val="nil"/>
              <w:left w:val="nil"/>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31.5%</w:t>
            </w:r>
          </w:p>
        </w:tc>
        <w:tc>
          <w:tcPr>
            <w:tcW w:w="1051" w:type="dxa"/>
            <w:tcBorders>
              <w:top w:val="nil"/>
              <w:left w:val="nil"/>
              <w:bottom w:val="single" w:sz="4" w:space="0" w:color="auto"/>
              <w:right w:val="single" w:sz="12"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lower</w:t>
            </w:r>
          </w:p>
        </w:tc>
      </w:tr>
      <w:tr w:rsidR="00D94E70" w:rsidRPr="00D94E70" w:rsidTr="00BA0C6E">
        <w:trPr>
          <w:trHeight w:val="265"/>
          <w:jc w:val="center"/>
        </w:trPr>
        <w:tc>
          <w:tcPr>
            <w:tcW w:w="2205" w:type="dxa"/>
            <w:tcBorders>
              <w:top w:val="nil"/>
              <w:left w:val="single" w:sz="12" w:space="0" w:color="auto"/>
              <w:bottom w:val="single" w:sz="12" w:space="0" w:color="auto"/>
              <w:right w:val="nil"/>
            </w:tcBorders>
            <w:shd w:val="clear" w:color="auto" w:fill="auto"/>
            <w:noWrap/>
            <w:vAlign w:val="bottom"/>
            <w:hideMark/>
          </w:tcPr>
          <w:p w:rsidR="00D94E70" w:rsidRPr="00D94E70" w:rsidRDefault="00D94E70" w:rsidP="00D94E70">
            <w:pPr>
              <w:spacing w:after="0" w:line="240" w:lineRule="auto"/>
              <w:rPr>
                <w:rFonts w:ascii="Calibri" w:eastAsia="Times New Roman" w:hAnsi="Calibri" w:cs="Times New Roman"/>
                <w:b/>
                <w:bCs/>
                <w:color w:val="000000"/>
              </w:rPr>
            </w:pPr>
            <w:r w:rsidRPr="00D94E70">
              <w:rPr>
                <w:rFonts w:ascii="Calibri" w:eastAsia="Times New Roman" w:hAnsi="Calibri" w:cs="Times New Roman"/>
                <w:b/>
                <w:bCs/>
                <w:color w:val="000000"/>
              </w:rPr>
              <w:t>Hit Ped/Bike</w:t>
            </w:r>
          </w:p>
        </w:tc>
        <w:tc>
          <w:tcPr>
            <w:tcW w:w="874" w:type="dxa"/>
            <w:tcBorders>
              <w:top w:val="nil"/>
              <w:left w:val="single" w:sz="12" w:space="0" w:color="auto"/>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694</w:t>
            </w:r>
          </w:p>
        </w:tc>
        <w:tc>
          <w:tcPr>
            <w:tcW w:w="882" w:type="dxa"/>
            <w:tcBorders>
              <w:top w:val="nil"/>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FF0000"/>
              </w:rPr>
            </w:pPr>
            <w:r w:rsidRPr="00D94E70">
              <w:rPr>
                <w:rFonts w:ascii="Calibri" w:eastAsia="Times New Roman" w:hAnsi="Calibri" w:cs="Times New Roman"/>
                <w:b/>
                <w:bCs/>
                <w:color w:val="FF0000"/>
              </w:rPr>
              <w:t>17.4%</w:t>
            </w:r>
          </w:p>
        </w:tc>
        <w:tc>
          <w:tcPr>
            <w:tcW w:w="909" w:type="dxa"/>
            <w:tcBorders>
              <w:top w:val="nil"/>
              <w:left w:val="nil"/>
              <w:bottom w:val="single" w:sz="12" w:space="0" w:color="auto"/>
              <w:right w:val="single" w:sz="12"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FF0000"/>
              </w:rPr>
            </w:pPr>
            <w:r w:rsidRPr="00D94E70">
              <w:rPr>
                <w:rFonts w:ascii="Calibri" w:eastAsia="Times New Roman" w:hAnsi="Calibri" w:cs="Times New Roman"/>
                <w:color w:val="FF0000"/>
              </w:rPr>
              <w:t>higher</w:t>
            </w:r>
          </w:p>
        </w:tc>
        <w:tc>
          <w:tcPr>
            <w:tcW w:w="875" w:type="dxa"/>
            <w:tcBorders>
              <w:top w:val="nil"/>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152</w:t>
            </w:r>
          </w:p>
        </w:tc>
        <w:tc>
          <w:tcPr>
            <w:tcW w:w="1051" w:type="dxa"/>
            <w:tcBorders>
              <w:top w:val="nil"/>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3.70%</w:t>
            </w:r>
          </w:p>
        </w:tc>
        <w:tc>
          <w:tcPr>
            <w:tcW w:w="909" w:type="dxa"/>
            <w:tcBorders>
              <w:top w:val="nil"/>
              <w:left w:val="nil"/>
              <w:bottom w:val="single" w:sz="12" w:space="0" w:color="auto"/>
              <w:right w:val="single" w:sz="8"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lower</w:t>
            </w:r>
          </w:p>
        </w:tc>
        <w:tc>
          <w:tcPr>
            <w:tcW w:w="597" w:type="dxa"/>
            <w:tcBorders>
              <w:top w:val="nil"/>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47</w:t>
            </w:r>
          </w:p>
        </w:tc>
        <w:tc>
          <w:tcPr>
            <w:tcW w:w="958" w:type="dxa"/>
            <w:tcBorders>
              <w:top w:val="nil"/>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4.80%</w:t>
            </w:r>
          </w:p>
        </w:tc>
        <w:tc>
          <w:tcPr>
            <w:tcW w:w="1051" w:type="dxa"/>
            <w:tcBorders>
              <w:top w:val="nil"/>
              <w:left w:val="nil"/>
              <w:bottom w:val="single" w:sz="12" w:space="0" w:color="auto"/>
              <w:right w:val="single" w:sz="12"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lower</w:t>
            </w:r>
          </w:p>
        </w:tc>
      </w:tr>
      <w:tr w:rsidR="00D94E70" w:rsidRPr="00D94E70" w:rsidTr="00BA0C6E">
        <w:trPr>
          <w:trHeight w:val="265"/>
          <w:jc w:val="center"/>
        </w:trPr>
        <w:tc>
          <w:tcPr>
            <w:tcW w:w="2205" w:type="dxa"/>
            <w:tcBorders>
              <w:top w:val="nil"/>
              <w:left w:val="single" w:sz="12" w:space="0" w:color="auto"/>
              <w:bottom w:val="single" w:sz="4" w:space="0" w:color="auto"/>
              <w:right w:val="nil"/>
            </w:tcBorders>
            <w:shd w:val="clear" w:color="auto" w:fill="auto"/>
            <w:noWrap/>
            <w:vAlign w:val="bottom"/>
            <w:hideMark/>
          </w:tcPr>
          <w:p w:rsidR="00D94E70" w:rsidRPr="00D94E70" w:rsidRDefault="00D94E70" w:rsidP="00D94E70">
            <w:pPr>
              <w:spacing w:after="0" w:line="240" w:lineRule="auto"/>
              <w:rPr>
                <w:rFonts w:ascii="Calibri" w:eastAsia="Times New Roman" w:hAnsi="Calibri" w:cs="Times New Roman"/>
                <w:b/>
                <w:bCs/>
                <w:color w:val="000000"/>
              </w:rPr>
            </w:pPr>
            <w:r w:rsidRPr="00D94E70">
              <w:rPr>
                <w:rFonts w:ascii="Calibri" w:eastAsia="Times New Roman" w:hAnsi="Calibri" w:cs="Times New Roman"/>
                <w:b/>
                <w:bCs/>
                <w:color w:val="000000"/>
              </w:rPr>
              <w:t>Rollover/Overturn</w:t>
            </w:r>
          </w:p>
        </w:tc>
        <w:tc>
          <w:tcPr>
            <w:tcW w:w="874" w:type="dxa"/>
            <w:tcBorders>
              <w:top w:val="nil"/>
              <w:left w:val="single" w:sz="12" w:space="0" w:color="auto"/>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233</w:t>
            </w:r>
          </w:p>
        </w:tc>
        <w:tc>
          <w:tcPr>
            <w:tcW w:w="882" w:type="dxa"/>
            <w:tcBorders>
              <w:top w:val="nil"/>
              <w:left w:val="nil"/>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5.8%</w:t>
            </w:r>
          </w:p>
        </w:tc>
        <w:tc>
          <w:tcPr>
            <w:tcW w:w="909" w:type="dxa"/>
            <w:tcBorders>
              <w:top w:val="nil"/>
              <w:left w:val="nil"/>
              <w:bottom w:val="single" w:sz="4" w:space="0" w:color="auto"/>
              <w:right w:val="single" w:sz="12"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lower</w:t>
            </w:r>
          </w:p>
        </w:tc>
        <w:tc>
          <w:tcPr>
            <w:tcW w:w="875" w:type="dxa"/>
            <w:tcBorders>
              <w:top w:val="nil"/>
              <w:left w:val="nil"/>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422</w:t>
            </w:r>
          </w:p>
        </w:tc>
        <w:tc>
          <w:tcPr>
            <w:tcW w:w="1051" w:type="dxa"/>
            <w:tcBorders>
              <w:top w:val="nil"/>
              <w:left w:val="nil"/>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FF0000"/>
              </w:rPr>
            </w:pPr>
            <w:r w:rsidRPr="00D94E70">
              <w:rPr>
                <w:rFonts w:ascii="Calibri" w:eastAsia="Times New Roman" w:hAnsi="Calibri" w:cs="Times New Roman"/>
                <w:b/>
                <w:bCs/>
                <w:color w:val="FF0000"/>
              </w:rPr>
              <w:t>10.4%</w:t>
            </w:r>
          </w:p>
        </w:tc>
        <w:tc>
          <w:tcPr>
            <w:tcW w:w="909" w:type="dxa"/>
            <w:tcBorders>
              <w:top w:val="nil"/>
              <w:left w:val="nil"/>
              <w:bottom w:val="single" w:sz="4" w:space="0" w:color="auto"/>
              <w:right w:val="single" w:sz="8"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FF0000"/>
              </w:rPr>
            </w:pPr>
            <w:r w:rsidRPr="00D94E70">
              <w:rPr>
                <w:rFonts w:ascii="Calibri" w:eastAsia="Times New Roman" w:hAnsi="Calibri" w:cs="Times New Roman"/>
                <w:color w:val="FF0000"/>
              </w:rPr>
              <w:t>higher</w:t>
            </w:r>
          </w:p>
        </w:tc>
        <w:tc>
          <w:tcPr>
            <w:tcW w:w="597" w:type="dxa"/>
            <w:tcBorders>
              <w:top w:val="nil"/>
              <w:left w:val="nil"/>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98</w:t>
            </w:r>
          </w:p>
        </w:tc>
        <w:tc>
          <w:tcPr>
            <w:tcW w:w="958" w:type="dxa"/>
            <w:tcBorders>
              <w:top w:val="nil"/>
              <w:left w:val="nil"/>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FF0000"/>
              </w:rPr>
            </w:pPr>
            <w:r w:rsidRPr="00D94E70">
              <w:rPr>
                <w:rFonts w:ascii="Calibri" w:eastAsia="Times New Roman" w:hAnsi="Calibri" w:cs="Times New Roman"/>
                <w:b/>
                <w:bCs/>
                <w:color w:val="FF0000"/>
              </w:rPr>
              <w:t>10.1%</w:t>
            </w:r>
          </w:p>
        </w:tc>
        <w:tc>
          <w:tcPr>
            <w:tcW w:w="1051" w:type="dxa"/>
            <w:tcBorders>
              <w:top w:val="nil"/>
              <w:left w:val="nil"/>
              <w:bottom w:val="single" w:sz="4" w:space="0" w:color="auto"/>
              <w:right w:val="single" w:sz="12"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FF0000"/>
              </w:rPr>
            </w:pPr>
            <w:r w:rsidRPr="00D94E70">
              <w:rPr>
                <w:rFonts w:ascii="Calibri" w:eastAsia="Times New Roman" w:hAnsi="Calibri" w:cs="Times New Roman"/>
                <w:color w:val="FF0000"/>
              </w:rPr>
              <w:t>higher</w:t>
            </w:r>
          </w:p>
        </w:tc>
      </w:tr>
      <w:tr w:rsidR="00D94E70" w:rsidRPr="00D94E70" w:rsidTr="00BA0C6E">
        <w:trPr>
          <w:trHeight w:val="253"/>
          <w:jc w:val="center"/>
        </w:trPr>
        <w:tc>
          <w:tcPr>
            <w:tcW w:w="2205" w:type="dxa"/>
            <w:tcBorders>
              <w:top w:val="nil"/>
              <w:left w:val="single" w:sz="12" w:space="0" w:color="auto"/>
              <w:bottom w:val="single" w:sz="4" w:space="0" w:color="auto"/>
              <w:right w:val="nil"/>
            </w:tcBorders>
            <w:shd w:val="clear" w:color="auto" w:fill="auto"/>
            <w:noWrap/>
            <w:vAlign w:val="bottom"/>
            <w:hideMark/>
          </w:tcPr>
          <w:p w:rsidR="00D94E70" w:rsidRPr="00D94E70" w:rsidRDefault="00D94E70" w:rsidP="00D94E70">
            <w:pPr>
              <w:spacing w:after="0" w:line="240" w:lineRule="auto"/>
              <w:rPr>
                <w:rFonts w:ascii="Calibri" w:eastAsia="Times New Roman" w:hAnsi="Calibri" w:cs="Times New Roman"/>
                <w:b/>
                <w:bCs/>
                <w:color w:val="000000"/>
              </w:rPr>
            </w:pPr>
            <w:r w:rsidRPr="00D94E70">
              <w:rPr>
                <w:rFonts w:ascii="Calibri" w:eastAsia="Times New Roman" w:hAnsi="Calibri" w:cs="Times New Roman"/>
                <w:b/>
                <w:bCs/>
                <w:color w:val="000000"/>
              </w:rPr>
              <w:t>Guardrail Barriers Posts</w:t>
            </w:r>
          </w:p>
        </w:tc>
        <w:tc>
          <w:tcPr>
            <w:tcW w:w="874" w:type="dxa"/>
            <w:tcBorders>
              <w:top w:val="nil"/>
              <w:left w:val="single" w:sz="12" w:space="0" w:color="auto"/>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215</w:t>
            </w:r>
          </w:p>
        </w:tc>
        <w:tc>
          <w:tcPr>
            <w:tcW w:w="882" w:type="dxa"/>
            <w:tcBorders>
              <w:top w:val="nil"/>
              <w:left w:val="nil"/>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5.4%</w:t>
            </w:r>
          </w:p>
        </w:tc>
        <w:tc>
          <w:tcPr>
            <w:tcW w:w="909" w:type="dxa"/>
            <w:tcBorders>
              <w:top w:val="nil"/>
              <w:left w:val="nil"/>
              <w:bottom w:val="single" w:sz="4" w:space="0" w:color="auto"/>
              <w:right w:val="single" w:sz="12"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lower</w:t>
            </w:r>
          </w:p>
        </w:tc>
        <w:tc>
          <w:tcPr>
            <w:tcW w:w="875" w:type="dxa"/>
            <w:tcBorders>
              <w:top w:val="nil"/>
              <w:left w:val="nil"/>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411</w:t>
            </w:r>
          </w:p>
        </w:tc>
        <w:tc>
          <w:tcPr>
            <w:tcW w:w="1051" w:type="dxa"/>
            <w:tcBorders>
              <w:top w:val="nil"/>
              <w:left w:val="nil"/>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FF0000"/>
              </w:rPr>
            </w:pPr>
            <w:r w:rsidRPr="00D94E70">
              <w:rPr>
                <w:rFonts w:ascii="Calibri" w:eastAsia="Times New Roman" w:hAnsi="Calibri" w:cs="Times New Roman"/>
                <w:b/>
                <w:bCs/>
                <w:color w:val="FF0000"/>
              </w:rPr>
              <w:t>10.2%</w:t>
            </w:r>
          </w:p>
        </w:tc>
        <w:tc>
          <w:tcPr>
            <w:tcW w:w="909" w:type="dxa"/>
            <w:tcBorders>
              <w:top w:val="nil"/>
              <w:left w:val="nil"/>
              <w:bottom w:val="single" w:sz="4" w:space="0" w:color="auto"/>
              <w:right w:val="single" w:sz="8"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FF0000"/>
              </w:rPr>
            </w:pPr>
            <w:r w:rsidRPr="00D94E70">
              <w:rPr>
                <w:rFonts w:ascii="Calibri" w:eastAsia="Times New Roman" w:hAnsi="Calibri" w:cs="Times New Roman"/>
                <w:color w:val="FF0000"/>
              </w:rPr>
              <w:t>higher</w:t>
            </w:r>
          </w:p>
        </w:tc>
        <w:tc>
          <w:tcPr>
            <w:tcW w:w="597" w:type="dxa"/>
            <w:tcBorders>
              <w:top w:val="nil"/>
              <w:left w:val="nil"/>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94</w:t>
            </w:r>
          </w:p>
        </w:tc>
        <w:tc>
          <w:tcPr>
            <w:tcW w:w="958" w:type="dxa"/>
            <w:tcBorders>
              <w:top w:val="nil"/>
              <w:left w:val="nil"/>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FF0000"/>
              </w:rPr>
            </w:pPr>
            <w:r w:rsidRPr="00D94E70">
              <w:rPr>
                <w:rFonts w:ascii="Calibri" w:eastAsia="Times New Roman" w:hAnsi="Calibri" w:cs="Times New Roman"/>
                <w:b/>
                <w:bCs/>
                <w:color w:val="FF0000"/>
              </w:rPr>
              <w:t>9.7%</w:t>
            </w:r>
          </w:p>
        </w:tc>
        <w:tc>
          <w:tcPr>
            <w:tcW w:w="1051" w:type="dxa"/>
            <w:tcBorders>
              <w:top w:val="nil"/>
              <w:left w:val="nil"/>
              <w:bottom w:val="single" w:sz="4" w:space="0" w:color="auto"/>
              <w:right w:val="single" w:sz="12"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FF0000"/>
              </w:rPr>
            </w:pPr>
            <w:r w:rsidRPr="00D94E70">
              <w:rPr>
                <w:rFonts w:ascii="Calibri" w:eastAsia="Times New Roman" w:hAnsi="Calibri" w:cs="Times New Roman"/>
                <w:color w:val="FF0000"/>
              </w:rPr>
              <w:t>higher</w:t>
            </w:r>
          </w:p>
        </w:tc>
      </w:tr>
      <w:tr w:rsidR="00D94E70" w:rsidRPr="00D94E70" w:rsidTr="00BA0C6E">
        <w:trPr>
          <w:trHeight w:val="253"/>
          <w:jc w:val="center"/>
        </w:trPr>
        <w:tc>
          <w:tcPr>
            <w:tcW w:w="2205" w:type="dxa"/>
            <w:tcBorders>
              <w:top w:val="nil"/>
              <w:left w:val="single" w:sz="12" w:space="0" w:color="auto"/>
              <w:bottom w:val="single" w:sz="4" w:space="0" w:color="auto"/>
              <w:right w:val="nil"/>
            </w:tcBorders>
            <w:shd w:val="clear" w:color="auto" w:fill="auto"/>
            <w:noWrap/>
            <w:vAlign w:val="bottom"/>
            <w:hideMark/>
          </w:tcPr>
          <w:p w:rsidR="00D94E70" w:rsidRPr="00D94E70" w:rsidRDefault="00D94E70" w:rsidP="00D94E70">
            <w:pPr>
              <w:spacing w:after="0" w:line="240" w:lineRule="auto"/>
              <w:rPr>
                <w:rFonts w:ascii="Calibri" w:eastAsia="Times New Roman" w:hAnsi="Calibri" w:cs="Times New Roman"/>
                <w:b/>
                <w:bCs/>
                <w:color w:val="000000"/>
              </w:rPr>
            </w:pPr>
            <w:r w:rsidRPr="00D94E70">
              <w:rPr>
                <w:rFonts w:ascii="Calibri" w:eastAsia="Times New Roman" w:hAnsi="Calibri" w:cs="Times New Roman"/>
                <w:b/>
                <w:bCs/>
                <w:color w:val="000000"/>
              </w:rPr>
              <w:t>Culvert  Ditch embank</w:t>
            </w:r>
          </w:p>
        </w:tc>
        <w:tc>
          <w:tcPr>
            <w:tcW w:w="874" w:type="dxa"/>
            <w:tcBorders>
              <w:top w:val="nil"/>
              <w:left w:val="single" w:sz="12" w:space="0" w:color="auto"/>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342</w:t>
            </w:r>
          </w:p>
        </w:tc>
        <w:tc>
          <w:tcPr>
            <w:tcW w:w="882" w:type="dxa"/>
            <w:tcBorders>
              <w:top w:val="nil"/>
              <w:left w:val="nil"/>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8.6%</w:t>
            </w:r>
          </w:p>
        </w:tc>
        <w:tc>
          <w:tcPr>
            <w:tcW w:w="909" w:type="dxa"/>
            <w:tcBorders>
              <w:top w:val="nil"/>
              <w:left w:val="nil"/>
              <w:bottom w:val="single" w:sz="4" w:space="0" w:color="auto"/>
              <w:right w:val="single" w:sz="12"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lower</w:t>
            </w:r>
          </w:p>
        </w:tc>
        <w:tc>
          <w:tcPr>
            <w:tcW w:w="875" w:type="dxa"/>
            <w:tcBorders>
              <w:top w:val="nil"/>
              <w:left w:val="nil"/>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787</w:t>
            </w:r>
          </w:p>
        </w:tc>
        <w:tc>
          <w:tcPr>
            <w:tcW w:w="1051" w:type="dxa"/>
            <w:tcBorders>
              <w:top w:val="nil"/>
              <w:left w:val="nil"/>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FF0000"/>
              </w:rPr>
            </w:pPr>
            <w:r w:rsidRPr="00D94E70">
              <w:rPr>
                <w:rFonts w:ascii="Calibri" w:eastAsia="Times New Roman" w:hAnsi="Calibri" w:cs="Times New Roman"/>
                <w:b/>
                <w:bCs/>
                <w:color w:val="FF0000"/>
              </w:rPr>
              <w:t>19.5%</w:t>
            </w:r>
          </w:p>
        </w:tc>
        <w:tc>
          <w:tcPr>
            <w:tcW w:w="909" w:type="dxa"/>
            <w:tcBorders>
              <w:top w:val="nil"/>
              <w:left w:val="nil"/>
              <w:bottom w:val="single" w:sz="4" w:space="0" w:color="auto"/>
              <w:right w:val="single" w:sz="8"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FF0000"/>
              </w:rPr>
            </w:pPr>
            <w:r w:rsidRPr="00D94E70">
              <w:rPr>
                <w:rFonts w:ascii="Calibri" w:eastAsia="Times New Roman" w:hAnsi="Calibri" w:cs="Times New Roman"/>
                <w:color w:val="FF0000"/>
              </w:rPr>
              <w:t>higher</w:t>
            </w:r>
          </w:p>
        </w:tc>
        <w:tc>
          <w:tcPr>
            <w:tcW w:w="597" w:type="dxa"/>
            <w:tcBorders>
              <w:top w:val="nil"/>
              <w:left w:val="nil"/>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155</w:t>
            </w:r>
          </w:p>
        </w:tc>
        <w:tc>
          <w:tcPr>
            <w:tcW w:w="958" w:type="dxa"/>
            <w:tcBorders>
              <w:top w:val="nil"/>
              <w:left w:val="nil"/>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FF0000"/>
              </w:rPr>
            </w:pPr>
            <w:r w:rsidRPr="00D94E70">
              <w:rPr>
                <w:rFonts w:ascii="Calibri" w:eastAsia="Times New Roman" w:hAnsi="Calibri" w:cs="Times New Roman"/>
                <w:b/>
                <w:bCs/>
                <w:color w:val="FF0000"/>
              </w:rPr>
              <w:t>15.9%</w:t>
            </w:r>
          </w:p>
        </w:tc>
        <w:tc>
          <w:tcPr>
            <w:tcW w:w="1051" w:type="dxa"/>
            <w:tcBorders>
              <w:top w:val="nil"/>
              <w:left w:val="nil"/>
              <w:bottom w:val="single" w:sz="4" w:space="0" w:color="auto"/>
              <w:right w:val="single" w:sz="12"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FF0000"/>
              </w:rPr>
            </w:pPr>
            <w:r w:rsidRPr="00D94E70">
              <w:rPr>
                <w:rFonts w:ascii="Calibri" w:eastAsia="Times New Roman" w:hAnsi="Calibri" w:cs="Times New Roman"/>
                <w:color w:val="FF0000"/>
              </w:rPr>
              <w:t>higher</w:t>
            </w:r>
          </w:p>
        </w:tc>
      </w:tr>
      <w:tr w:rsidR="00D94E70" w:rsidRPr="00D94E70" w:rsidTr="00BA0C6E">
        <w:trPr>
          <w:trHeight w:val="265"/>
          <w:jc w:val="center"/>
        </w:trPr>
        <w:tc>
          <w:tcPr>
            <w:tcW w:w="2205" w:type="dxa"/>
            <w:tcBorders>
              <w:top w:val="nil"/>
              <w:left w:val="single" w:sz="12" w:space="0" w:color="auto"/>
              <w:bottom w:val="single" w:sz="12" w:space="0" w:color="auto"/>
              <w:right w:val="nil"/>
            </w:tcBorders>
            <w:shd w:val="clear" w:color="auto" w:fill="auto"/>
            <w:noWrap/>
            <w:vAlign w:val="bottom"/>
            <w:hideMark/>
          </w:tcPr>
          <w:p w:rsidR="00D94E70" w:rsidRPr="00D94E70" w:rsidRDefault="00D94E70" w:rsidP="00D94E70">
            <w:pPr>
              <w:spacing w:after="0" w:line="240" w:lineRule="auto"/>
              <w:rPr>
                <w:rFonts w:ascii="Calibri" w:eastAsia="Times New Roman" w:hAnsi="Calibri" w:cs="Times New Roman"/>
                <w:b/>
                <w:bCs/>
                <w:color w:val="000000"/>
              </w:rPr>
            </w:pPr>
            <w:r w:rsidRPr="00D94E70">
              <w:rPr>
                <w:rFonts w:ascii="Calibri" w:eastAsia="Times New Roman" w:hAnsi="Calibri" w:cs="Times New Roman"/>
                <w:b/>
                <w:bCs/>
                <w:color w:val="000000"/>
              </w:rPr>
              <w:t>Tree (Standing Only)</w:t>
            </w:r>
          </w:p>
        </w:tc>
        <w:tc>
          <w:tcPr>
            <w:tcW w:w="874" w:type="dxa"/>
            <w:tcBorders>
              <w:top w:val="nil"/>
              <w:left w:val="single" w:sz="12" w:space="0" w:color="auto"/>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308</w:t>
            </w:r>
          </w:p>
        </w:tc>
        <w:tc>
          <w:tcPr>
            <w:tcW w:w="882" w:type="dxa"/>
            <w:tcBorders>
              <w:top w:val="nil"/>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7.7%</w:t>
            </w:r>
          </w:p>
        </w:tc>
        <w:tc>
          <w:tcPr>
            <w:tcW w:w="909" w:type="dxa"/>
            <w:tcBorders>
              <w:top w:val="nil"/>
              <w:left w:val="nil"/>
              <w:bottom w:val="single" w:sz="12" w:space="0" w:color="auto"/>
              <w:right w:val="single" w:sz="12"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lower</w:t>
            </w:r>
          </w:p>
        </w:tc>
        <w:tc>
          <w:tcPr>
            <w:tcW w:w="875" w:type="dxa"/>
            <w:tcBorders>
              <w:top w:val="nil"/>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554</w:t>
            </w:r>
          </w:p>
        </w:tc>
        <w:tc>
          <w:tcPr>
            <w:tcW w:w="1051" w:type="dxa"/>
            <w:tcBorders>
              <w:top w:val="nil"/>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FF0000"/>
              </w:rPr>
            </w:pPr>
            <w:r w:rsidRPr="00D94E70">
              <w:rPr>
                <w:rFonts w:ascii="Calibri" w:eastAsia="Times New Roman" w:hAnsi="Calibri" w:cs="Times New Roman"/>
                <w:b/>
                <w:bCs/>
                <w:color w:val="FF0000"/>
              </w:rPr>
              <w:t>13.7%</w:t>
            </w:r>
          </w:p>
        </w:tc>
        <w:tc>
          <w:tcPr>
            <w:tcW w:w="909" w:type="dxa"/>
            <w:tcBorders>
              <w:top w:val="nil"/>
              <w:left w:val="nil"/>
              <w:bottom w:val="single" w:sz="12" w:space="0" w:color="auto"/>
              <w:right w:val="single" w:sz="8"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FF0000"/>
              </w:rPr>
            </w:pPr>
            <w:r w:rsidRPr="00D94E70">
              <w:rPr>
                <w:rFonts w:ascii="Calibri" w:eastAsia="Times New Roman" w:hAnsi="Calibri" w:cs="Times New Roman"/>
                <w:color w:val="FF0000"/>
              </w:rPr>
              <w:t>higher</w:t>
            </w:r>
          </w:p>
        </w:tc>
        <w:tc>
          <w:tcPr>
            <w:tcW w:w="597" w:type="dxa"/>
            <w:tcBorders>
              <w:top w:val="nil"/>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145</w:t>
            </w:r>
          </w:p>
        </w:tc>
        <w:tc>
          <w:tcPr>
            <w:tcW w:w="958" w:type="dxa"/>
            <w:tcBorders>
              <w:top w:val="nil"/>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FF0000"/>
              </w:rPr>
            </w:pPr>
            <w:r w:rsidRPr="00D94E70">
              <w:rPr>
                <w:rFonts w:ascii="Calibri" w:eastAsia="Times New Roman" w:hAnsi="Calibri" w:cs="Times New Roman"/>
                <w:b/>
                <w:bCs/>
                <w:color w:val="FF0000"/>
              </w:rPr>
              <w:t>14.9%</w:t>
            </w:r>
          </w:p>
        </w:tc>
        <w:tc>
          <w:tcPr>
            <w:tcW w:w="1051" w:type="dxa"/>
            <w:tcBorders>
              <w:top w:val="nil"/>
              <w:left w:val="nil"/>
              <w:bottom w:val="single" w:sz="12" w:space="0" w:color="auto"/>
              <w:right w:val="single" w:sz="12"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FF0000"/>
              </w:rPr>
            </w:pPr>
            <w:r w:rsidRPr="00D94E70">
              <w:rPr>
                <w:rFonts w:ascii="Calibri" w:eastAsia="Times New Roman" w:hAnsi="Calibri" w:cs="Times New Roman"/>
                <w:color w:val="FF0000"/>
              </w:rPr>
              <w:t>higher</w:t>
            </w:r>
          </w:p>
        </w:tc>
      </w:tr>
      <w:tr w:rsidR="00D94E70" w:rsidRPr="00D94E70" w:rsidTr="00BA0C6E">
        <w:trPr>
          <w:trHeight w:val="265"/>
          <w:jc w:val="center"/>
        </w:trPr>
        <w:tc>
          <w:tcPr>
            <w:tcW w:w="2205" w:type="dxa"/>
            <w:tcBorders>
              <w:top w:val="nil"/>
              <w:left w:val="single" w:sz="12" w:space="0" w:color="auto"/>
              <w:bottom w:val="single" w:sz="4" w:space="0" w:color="auto"/>
              <w:right w:val="nil"/>
            </w:tcBorders>
            <w:shd w:val="clear" w:color="auto" w:fill="auto"/>
            <w:noWrap/>
            <w:vAlign w:val="bottom"/>
            <w:hideMark/>
          </w:tcPr>
          <w:p w:rsidR="00D94E70" w:rsidRPr="00D94E70" w:rsidRDefault="00D94E70" w:rsidP="00D94E70">
            <w:pPr>
              <w:spacing w:after="0" w:line="240" w:lineRule="auto"/>
              <w:rPr>
                <w:rFonts w:ascii="Calibri" w:eastAsia="Times New Roman" w:hAnsi="Calibri" w:cs="Times New Roman"/>
                <w:b/>
                <w:bCs/>
                <w:color w:val="000000"/>
              </w:rPr>
            </w:pPr>
            <w:r w:rsidRPr="00D94E70">
              <w:rPr>
                <w:rFonts w:ascii="Calibri" w:eastAsia="Times New Roman" w:hAnsi="Calibri" w:cs="Times New Roman"/>
                <w:b/>
                <w:bCs/>
                <w:color w:val="000000"/>
              </w:rPr>
              <w:t>Total of selected events</w:t>
            </w:r>
          </w:p>
        </w:tc>
        <w:tc>
          <w:tcPr>
            <w:tcW w:w="874" w:type="dxa"/>
            <w:tcBorders>
              <w:top w:val="nil"/>
              <w:left w:val="single" w:sz="12" w:space="0" w:color="auto"/>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3558</w:t>
            </w:r>
          </w:p>
        </w:tc>
        <w:tc>
          <w:tcPr>
            <w:tcW w:w="882" w:type="dxa"/>
            <w:tcBorders>
              <w:top w:val="nil"/>
              <w:left w:val="nil"/>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 </w:t>
            </w:r>
          </w:p>
        </w:tc>
        <w:tc>
          <w:tcPr>
            <w:tcW w:w="909" w:type="dxa"/>
            <w:tcBorders>
              <w:top w:val="nil"/>
              <w:left w:val="nil"/>
              <w:bottom w:val="single" w:sz="4" w:space="0" w:color="auto"/>
              <w:right w:val="single" w:sz="12"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 </w:t>
            </w:r>
          </w:p>
        </w:tc>
        <w:tc>
          <w:tcPr>
            <w:tcW w:w="875" w:type="dxa"/>
            <w:tcBorders>
              <w:top w:val="nil"/>
              <w:left w:val="nil"/>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3376</w:t>
            </w:r>
          </w:p>
        </w:tc>
        <w:tc>
          <w:tcPr>
            <w:tcW w:w="1051" w:type="dxa"/>
            <w:tcBorders>
              <w:top w:val="nil"/>
              <w:left w:val="nil"/>
              <w:bottom w:val="nil"/>
              <w:right w:val="nil"/>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p>
        </w:tc>
        <w:tc>
          <w:tcPr>
            <w:tcW w:w="909" w:type="dxa"/>
            <w:tcBorders>
              <w:top w:val="nil"/>
              <w:left w:val="single" w:sz="4" w:space="0" w:color="auto"/>
              <w:bottom w:val="single" w:sz="4" w:space="0" w:color="auto"/>
              <w:right w:val="single" w:sz="8"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 </w:t>
            </w:r>
          </w:p>
        </w:tc>
        <w:tc>
          <w:tcPr>
            <w:tcW w:w="597" w:type="dxa"/>
            <w:tcBorders>
              <w:top w:val="nil"/>
              <w:left w:val="nil"/>
              <w:bottom w:val="single" w:sz="4"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846</w:t>
            </w:r>
          </w:p>
        </w:tc>
        <w:tc>
          <w:tcPr>
            <w:tcW w:w="958" w:type="dxa"/>
            <w:tcBorders>
              <w:top w:val="nil"/>
              <w:left w:val="nil"/>
              <w:bottom w:val="nil"/>
              <w:right w:val="nil"/>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p>
        </w:tc>
        <w:tc>
          <w:tcPr>
            <w:tcW w:w="1051" w:type="dxa"/>
            <w:tcBorders>
              <w:top w:val="nil"/>
              <w:left w:val="single" w:sz="4" w:space="0" w:color="auto"/>
              <w:bottom w:val="single" w:sz="4" w:space="0" w:color="auto"/>
              <w:right w:val="single" w:sz="12"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 </w:t>
            </w:r>
          </w:p>
        </w:tc>
      </w:tr>
      <w:tr w:rsidR="00D94E70" w:rsidRPr="00D94E70" w:rsidTr="00BA0C6E">
        <w:trPr>
          <w:trHeight w:val="278"/>
          <w:jc w:val="center"/>
        </w:trPr>
        <w:tc>
          <w:tcPr>
            <w:tcW w:w="2205" w:type="dxa"/>
            <w:tcBorders>
              <w:top w:val="nil"/>
              <w:left w:val="single" w:sz="12" w:space="0" w:color="auto"/>
              <w:bottom w:val="single" w:sz="12" w:space="0" w:color="auto"/>
              <w:right w:val="nil"/>
            </w:tcBorders>
            <w:shd w:val="clear" w:color="auto" w:fill="auto"/>
            <w:noWrap/>
            <w:vAlign w:val="bottom"/>
            <w:hideMark/>
          </w:tcPr>
          <w:p w:rsidR="00D94E70" w:rsidRPr="00D94E70" w:rsidRDefault="00D94E70" w:rsidP="00D94E70">
            <w:pPr>
              <w:spacing w:after="0" w:line="240" w:lineRule="auto"/>
              <w:rPr>
                <w:rFonts w:ascii="Calibri" w:eastAsia="Times New Roman" w:hAnsi="Calibri" w:cs="Times New Roman"/>
                <w:b/>
                <w:bCs/>
                <w:color w:val="000000"/>
                <w:sz w:val="24"/>
                <w:szCs w:val="24"/>
              </w:rPr>
            </w:pPr>
            <w:r w:rsidRPr="00D94E70">
              <w:rPr>
                <w:rFonts w:ascii="Calibri" w:eastAsia="Times New Roman" w:hAnsi="Calibri" w:cs="Times New Roman"/>
                <w:b/>
                <w:bCs/>
                <w:color w:val="000000"/>
                <w:sz w:val="24"/>
                <w:szCs w:val="24"/>
              </w:rPr>
              <w:t>Total Drivers</w:t>
            </w:r>
          </w:p>
        </w:tc>
        <w:tc>
          <w:tcPr>
            <w:tcW w:w="874" w:type="dxa"/>
            <w:tcBorders>
              <w:top w:val="nil"/>
              <w:left w:val="single" w:sz="12" w:space="0" w:color="auto"/>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sz w:val="24"/>
                <w:szCs w:val="24"/>
              </w:rPr>
            </w:pPr>
            <w:r w:rsidRPr="00D94E70">
              <w:rPr>
                <w:rFonts w:ascii="Calibri" w:eastAsia="Times New Roman" w:hAnsi="Calibri" w:cs="Times New Roman"/>
                <w:b/>
                <w:bCs/>
                <w:color w:val="000000"/>
                <w:sz w:val="24"/>
                <w:szCs w:val="24"/>
              </w:rPr>
              <w:t>3,918</w:t>
            </w:r>
          </w:p>
        </w:tc>
        <w:tc>
          <w:tcPr>
            <w:tcW w:w="882" w:type="dxa"/>
            <w:tcBorders>
              <w:top w:val="nil"/>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98.2%</w:t>
            </w:r>
          </w:p>
        </w:tc>
        <w:tc>
          <w:tcPr>
            <w:tcW w:w="909" w:type="dxa"/>
            <w:tcBorders>
              <w:top w:val="nil"/>
              <w:left w:val="nil"/>
              <w:bottom w:val="single" w:sz="12" w:space="0" w:color="auto"/>
              <w:right w:val="single" w:sz="12"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 </w:t>
            </w:r>
          </w:p>
        </w:tc>
        <w:tc>
          <w:tcPr>
            <w:tcW w:w="875" w:type="dxa"/>
            <w:tcBorders>
              <w:top w:val="nil"/>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sz w:val="24"/>
                <w:szCs w:val="24"/>
              </w:rPr>
            </w:pPr>
            <w:r w:rsidRPr="00D94E70">
              <w:rPr>
                <w:rFonts w:ascii="Calibri" w:eastAsia="Times New Roman" w:hAnsi="Calibri" w:cs="Times New Roman"/>
                <w:b/>
                <w:bCs/>
                <w:color w:val="000000"/>
                <w:sz w:val="24"/>
                <w:szCs w:val="24"/>
              </w:rPr>
              <w:t>4,044</w:t>
            </w:r>
          </w:p>
        </w:tc>
        <w:tc>
          <w:tcPr>
            <w:tcW w:w="1051" w:type="dxa"/>
            <w:tcBorders>
              <w:top w:val="single" w:sz="4" w:space="0" w:color="auto"/>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100.0%</w:t>
            </w:r>
          </w:p>
        </w:tc>
        <w:tc>
          <w:tcPr>
            <w:tcW w:w="909" w:type="dxa"/>
            <w:tcBorders>
              <w:top w:val="nil"/>
              <w:left w:val="nil"/>
              <w:bottom w:val="single" w:sz="12" w:space="0" w:color="auto"/>
              <w:right w:val="single" w:sz="8"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 </w:t>
            </w:r>
          </w:p>
        </w:tc>
        <w:tc>
          <w:tcPr>
            <w:tcW w:w="597" w:type="dxa"/>
            <w:tcBorders>
              <w:top w:val="nil"/>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sz w:val="24"/>
                <w:szCs w:val="24"/>
              </w:rPr>
            </w:pPr>
            <w:r w:rsidRPr="00D94E70">
              <w:rPr>
                <w:rFonts w:ascii="Calibri" w:eastAsia="Times New Roman" w:hAnsi="Calibri" w:cs="Times New Roman"/>
                <w:b/>
                <w:bCs/>
                <w:color w:val="000000"/>
                <w:sz w:val="24"/>
                <w:szCs w:val="24"/>
              </w:rPr>
              <w:t>974</w:t>
            </w:r>
          </w:p>
        </w:tc>
        <w:tc>
          <w:tcPr>
            <w:tcW w:w="958" w:type="dxa"/>
            <w:tcBorders>
              <w:top w:val="single" w:sz="4" w:space="0" w:color="auto"/>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sz w:val="24"/>
                <w:szCs w:val="24"/>
              </w:rPr>
            </w:pPr>
            <w:r w:rsidRPr="00D94E70">
              <w:rPr>
                <w:rFonts w:ascii="Calibri" w:eastAsia="Times New Roman" w:hAnsi="Calibri" w:cs="Times New Roman"/>
                <w:b/>
                <w:bCs/>
                <w:color w:val="000000"/>
                <w:sz w:val="24"/>
                <w:szCs w:val="24"/>
              </w:rPr>
              <w:t>974</w:t>
            </w:r>
          </w:p>
        </w:tc>
        <w:tc>
          <w:tcPr>
            <w:tcW w:w="1051" w:type="dxa"/>
            <w:tcBorders>
              <w:top w:val="nil"/>
              <w:left w:val="nil"/>
              <w:bottom w:val="single" w:sz="12" w:space="0" w:color="auto"/>
              <w:right w:val="single" w:sz="12"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100.0%</w:t>
            </w:r>
          </w:p>
        </w:tc>
      </w:tr>
      <w:tr w:rsidR="00D94E70" w:rsidRPr="00D94E70" w:rsidTr="00BA0C6E">
        <w:trPr>
          <w:trHeight w:val="290"/>
          <w:jc w:val="center"/>
        </w:trPr>
        <w:tc>
          <w:tcPr>
            <w:tcW w:w="2205" w:type="dxa"/>
            <w:tcBorders>
              <w:top w:val="nil"/>
              <w:left w:val="single" w:sz="12" w:space="0" w:color="auto"/>
              <w:bottom w:val="single" w:sz="12" w:space="0" w:color="auto"/>
              <w:right w:val="nil"/>
            </w:tcBorders>
            <w:shd w:val="clear" w:color="auto" w:fill="auto"/>
            <w:noWrap/>
            <w:vAlign w:val="bottom"/>
            <w:hideMark/>
          </w:tcPr>
          <w:p w:rsidR="00D94E70" w:rsidRPr="00D94E70" w:rsidRDefault="00D94E70" w:rsidP="00D94E70">
            <w:pPr>
              <w:spacing w:after="0" w:line="240" w:lineRule="auto"/>
              <w:rPr>
                <w:rFonts w:ascii="Calibri" w:eastAsia="Times New Roman" w:hAnsi="Calibri" w:cs="Times New Roman"/>
                <w:b/>
                <w:bCs/>
                <w:color w:val="000000"/>
                <w:sz w:val="24"/>
                <w:szCs w:val="24"/>
              </w:rPr>
            </w:pPr>
            <w:r w:rsidRPr="00D94E70">
              <w:rPr>
                <w:rFonts w:ascii="Calibri" w:eastAsia="Times New Roman" w:hAnsi="Calibri" w:cs="Times New Roman"/>
                <w:b/>
                <w:bCs/>
                <w:color w:val="000000"/>
                <w:sz w:val="24"/>
                <w:szCs w:val="24"/>
              </w:rPr>
              <w:t>Speeding</w:t>
            </w:r>
          </w:p>
        </w:tc>
        <w:tc>
          <w:tcPr>
            <w:tcW w:w="874" w:type="dxa"/>
            <w:tcBorders>
              <w:top w:val="nil"/>
              <w:left w:val="single" w:sz="12" w:space="0" w:color="auto"/>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sz w:val="24"/>
                <w:szCs w:val="24"/>
              </w:rPr>
            </w:pPr>
            <w:r w:rsidRPr="00D94E70">
              <w:rPr>
                <w:rFonts w:ascii="Calibri" w:eastAsia="Times New Roman" w:hAnsi="Calibri" w:cs="Times New Roman"/>
                <w:b/>
                <w:bCs/>
                <w:color w:val="000000"/>
                <w:sz w:val="24"/>
                <w:szCs w:val="24"/>
              </w:rPr>
              <w:t>1,015</w:t>
            </w:r>
          </w:p>
        </w:tc>
        <w:tc>
          <w:tcPr>
            <w:tcW w:w="882" w:type="dxa"/>
            <w:tcBorders>
              <w:top w:val="nil"/>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27.1%</w:t>
            </w:r>
          </w:p>
        </w:tc>
        <w:tc>
          <w:tcPr>
            <w:tcW w:w="909" w:type="dxa"/>
            <w:tcBorders>
              <w:top w:val="nil"/>
              <w:left w:val="nil"/>
              <w:bottom w:val="single" w:sz="12" w:space="0" w:color="auto"/>
              <w:right w:val="single" w:sz="12"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lower</w:t>
            </w:r>
          </w:p>
        </w:tc>
        <w:tc>
          <w:tcPr>
            <w:tcW w:w="875" w:type="dxa"/>
            <w:tcBorders>
              <w:top w:val="nil"/>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right"/>
              <w:rPr>
                <w:rFonts w:ascii="Calibri" w:eastAsia="Times New Roman" w:hAnsi="Calibri" w:cs="Times New Roman"/>
                <w:b/>
                <w:bCs/>
                <w:color w:val="000000"/>
              </w:rPr>
            </w:pPr>
            <w:r w:rsidRPr="00D94E70">
              <w:rPr>
                <w:rFonts w:ascii="Calibri" w:eastAsia="Times New Roman" w:hAnsi="Calibri" w:cs="Times New Roman"/>
                <w:b/>
                <w:bCs/>
                <w:color w:val="000000"/>
              </w:rPr>
              <w:t>1,747</w:t>
            </w:r>
          </w:p>
        </w:tc>
        <w:tc>
          <w:tcPr>
            <w:tcW w:w="1051" w:type="dxa"/>
            <w:tcBorders>
              <w:top w:val="nil"/>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FF0000"/>
              </w:rPr>
            </w:pPr>
            <w:r w:rsidRPr="00D94E70">
              <w:rPr>
                <w:rFonts w:ascii="Calibri" w:eastAsia="Times New Roman" w:hAnsi="Calibri" w:cs="Times New Roman"/>
                <w:b/>
                <w:bCs/>
                <w:color w:val="FF0000"/>
              </w:rPr>
              <w:t>44.0%</w:t>
            </w:r>
          </w:p>
        </w:tc>
        <w:tc>
          <w:tcPr>
            <w:tcW w:w="909" w:type="dxa"/>
            <w:tcBorders>
              <w:top w:val="single" w:sz="4" w:space="0" w:color="auto"/>
              <w:left w:val="nil"/>
              <w:bottom w:val="single" w:sz="12" w:space="0" w:color="auto"/>
              <w:right w:val="single" w:sz="8"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FF0000"/>
              </w:rPr>
            </w:pPr>
            <w:r w:rsidRPr="00D94E70">
              <w:rPr>
                <w:rFonts w:ascii="Calibri" w:eastAsia="Times New Roman" w:hAnsi="Calibri" w:cs="Times New Roman"/>
                <w:color w:val="FF0000"/>
              </w:rPr>
              <w:t>higher</w:t>
            </w:r>
          </w:p>
        </w:tc>
        <w:tc>
          <w:tcPr>
            <w:tcW w:w="597" w:type="dxa"/>
            <w:tcBorders>
              <w:top w:val="nil"/>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FF0000"/>
                <w:sz w:val="24"/>
                <w:szCs w:val="24"/>
              </w:rPr>
            </w:pPr>
            <w:r w:rsidRPr="00D94E70">
              <w:rPr>
                <w:rFonts w:ascii="Calibri" w:eastAsia="Times New Roman" w:hAnsi="Calibri" w:cs="Times New Roman"/>
                <w:b/>
                <w:bCs/>
                <w:color w:val="FF0000"/>
                <w:sz w:val="24"/>
                <w:szCs w:val="24"/>
              </w:rPr>
              <w:t>926</w:t>
            </w:r>
          </w:p>
        </w:tc>
        <w:tc>
          <w:tcPr>
            <w:tcW w:w="958" w:type="dxa"/>
            <w:tcBorders>
              <w:top w:val="nil"/>
              <w:left w:val="nil"/>
              <w:bottom w:val="single" w:sz="12" w:space="0" w:color="auto"/>
              <w:right w:val="single" w:sz="4"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b/>
                <w:bCs/>
                <w:color w:val="FF0000"/>
                <w:sz w:val="24"/>
                <w:szCs w:val="24"/>
              </w:rPr>
            </w:pPr>
            <w:r w:rsidRPr="00D94E70">
              <w:rPr>
                <w:rFonts w:ascii="Calibri" w:eastAsia="Times New Roman" w:hAnsi="Calibri" w:cs="Times New Roman"/>
                <w:b/>
                <w:bCs/>
                <w:color w:val="FF0000"/>
                <w:sz w:val="24"/>
                <w:szCs w:val="24"/>
              </w:rPr>
              <w:t>44.5%</w:t>
            </w:r>
          </w:p>
        </w:tc>
        <w:tc>
          <w:tcPr>
            <w:tcW w:w="1051" w:type="dxa"/>
            <w:tcBorders>
              <w:top w:val="single" w:sz="4" w:space="0" w:color="auto"/>
              <w:left w:val="nil"/>
              <w:bottom w:val="single" w:sz="12" w:space="0" w:color="auto"/>
              <w:right w:val="single" w:sz="8" w:space="0" w:color="auto"/>
            </w:tcBorders>
            <w:shd w:val="clear" w:color="auto" w:fill="auto"/>
            <w:noWrap/>
            <w:vAlign w:val="bottom"/>
            <w:hideMark/>
          </w:tcPr>
          <w:p w:rsidR="00D94E70" w:rsidRPr="00D94E70" w:rsidRDefault="00D94E70" w:rsidP="00D94E70">
            <w:pPr>
              <w:spacing w:after="0" w:line="240" w:lineRule="auto"/>
              <w:jc w:val="center"/>
              <w:rPr>
                <w:rFonts w:ascii="Calibri" w:eastAsia="Times New Roman" w:hAnsi="Calibri" w:cs="Times New Roman"/>
                <w:color w:val="FF0000"/>
              </w:rPr>
            </w:pPr>
            <w:r w:rsidRPr="00D94E70">
              <w:rPr>
                <w:rFonts w:ascii="Calibri" w:eastAsia="Times New Roman" w:hAnsi="Calibri" w:cs="Times New Roman"/>
                <w:color w:val="FF0000"/>
              </w:rPr>
              <w:t>higher</w:t>
            </w:r>
          </w:p>
        </w:tc>
      </w:tr>
      <w:tr w:rsidR="00D94E70" w:rsidRPr="00D94E70" w:rsidTr="00BA0C6E">
        <w:trPr>
          <w:trHeight w:val="265"/>
          <w:jc w:val="center"/>
        </w:trPr>
        <w:tc>
          <w:tcPr>
            <w:tcW w:w="8305" w:type="dxa"/>
            <w:gridSpan w:val="8"/>
            <w:tcBorders>
              <w:top w:val="nil"/>
              <w:left w:val="nil"/>
              <w:bottom w:val="nil"/>
              <w:right w:val="nil"/>
            </w:tcBorders>
            <w:shd w:val="clear" w:color="auto" w:fill="auto"/>
            <w:noWrap/>
            <w:vAlign w:val="bottom"/>
            <w:hideMark/>
          </w:tcPr>
          <w:p w:rsidR="00D94E70" w:rsidRPr="00D94E70" w:rsidRDefault="00D94E70" w:rsidP="00D94E70">
            <w:pPr>
              <w:spacing w:after="0" w:line="240" w:lineRule="auto"/>
              <w:rPr>
                <w:rFonts w:ascii="Calibri" w:eastAsia="Times New Roman" w:hAnsi="Calibri" w:cs="Times New Roman"/>
                <w:color w:val="000000"/>
              </w:rPr>
            </w:pPr>
            <w:r w:rsidRPr="00D94E70">
              <w:rPr>
                <w:rFonts w:ascii="Calibri" w:eastAsia="Times New Roman" w:hAnsi="Calibri" w:cs="Times New Roman"/>
                <w:color w:val="000000"/>
              </w:rPr>
              <w:t>All differences between No Alcohol and 08+ and Marihuana drivers are statistically different at p&lt; .05</w:t>
            </w:r>
          </w:p>
        </w:tc>
        <w:tc>
          <w:tcPr>
            <w:tcW w:w="958" w:type="dxa"/>
            <w:tcBorders>
              <w:top w:val="nil"/>
              <w:left w:val="nil"/>
              <w:bottom w:val="nil"/>
              <w:right w:val="nil"/>
            </w:tcBorders>
            <w:shd w:val="clear" w:color="auto" w:fill="auto"/>
            <w:noWrap/>
            <w:vAlign w:val="bottom"/>
            <w:hideMark/>
          </w:tcPr>
          <w:p w:rsidR="00D94E70" w:rsidRPr="00D94E70" w:rsidRDefault="00D94E70" w:rsidP="00D94E70">
            <w:pPr>
              <w:spacing w:after="0" w:line="240" w:lineRule="auto"/>
              <w:rPr>
                <w:rFonts w:ascii="Calibri" w:eastAsia="Times New Roman" w:hAnsi="Calibri" w:cs="Times New Roman"/>
                <w:color w:val="000000"/>
              </w:rPr>
            </w:pPr>
          </w:p>
        </w:tc>
        <w:tc>
          <w:tcPr>
            <w:tcW w:w="1051" w:type="dxa"/>
            <w:tcBorders>
              <w:top w:val="nil"/>
              <w:left w:val="nil"/>
              <w:bottom w:val="nil"/>
              <w:right w:val="nil"/>
            </w:tcBorders>
            <w:shd w:val="clear" w:color="auto" w:fill="auto"/>
            <w:noWrap/>
            <w:vAlign w:val="bottom"/>
            <w:hideMark/>
          </w:tcPr>
          <w:p w:rsidR="00D94E70" w:rsidRPr="00D94E70" w:rsidRDefault="00D94E70" w:rsidP="00D94E70">
            <w:pPr>
              <w:spacing w:after="0" w:line="240" w:lineRule="auto"/>
              <w:rPr>
                <w:rFonts w:ascii="Times New Roman" w:eastAsia="Times New Roman" w:hAnsi="Times New Roman" w:cs="Times New Roman"/>
                <w:sz w:val="20"/>
                <w:szCs w:val="20"/>
              </w:rPr>
            </w:pPr>
          </w:p>
        </w:tc>
      </w:tr>
    </w:tbl>
    <w:p w:rsidR="00B61889" w:rsidRDefault="00B61889" w:rsidP="00D94E70">
      <w:pPr>
        <w:rPr>
          <w:b/>
        </w:rPr>
      </w:pPr>
    </w:p>
    <w:p w:rsidR="00D94E70" w:rsidRPr="00D94E70" w:rsidRDefault="00D94E70" w:rsidP="00D94E70">
      <w:pPr>
        <w:rPr>
          <w:b/>
        </w:rPr>
      </w:pPr>
      <w:r w:rsidRPr="00D94E70">
        <w:rPr>
          <w:b/>
        </w:rPr>
        <w:lastRenderedPageBreak/>
        <w:t>Age Differences for Marihuana and DUI Drivers</w:t>
      </w:r>
    </w:p>
    <w:p w:rsidR="00D94E70" w:rsidRDefault="00D94E70" w:rsidP="00D94E70">
      <w:r>
        <w:t xml:space="preserve">As shown in Table 2, the median age of marihuana drivers is statistically and significantly younger than 08+ drivers by     6 years. Further, marihuana drivers are about the same age as non-drinking drivers in fatal crashes. Further, the marihuana drivers are very much the same as non-drinking drivers when we look at the 3 highest involved age categories, 18-20 years of age vs. 19-21 years. </w:t>
      </w:r>
    </w:p>
    <w:p w:rsidR="00D94E70" w:rsidRDefault="00D94E70" w:rsidP="00D94E70">
      <w:r>
        <w:t xml:space="preserve">Clearly the age in which marihuana is becoming a fatal crash problem is younger than alcohol. </w:t>
      </w:r>
    </w:p>
    <w:tbl>
      <w:tblPr>
        <w:tblW w:w="7095" w:type="dxa"/>
        <w:jc w:val="center"/>
        <w:tblLook w:val="04A0" w:firstRow="1" w:lastRow="0" w:firstColumn="1" w:lastColumn="0" w:noHBand="0" w:noVBand="1"/>
      </w:tblPr>
      <w:tblGrid>
        <w:gridCol w:w="1738"/>
        <w:gridCol w:w="1847"/>
        <w:gridCol w:w="1710"/>
        <w:gridCol w:w="1800"/>
      </w:tblGrid>
      <w:tr w:rsidR="00D94E70" w:rsidRPr="00D94E70" w:rsidTr="00BA0C6E">
        <w:trPr>
          <w:trHeight w:val="798"/>
          <w:jc w:val="center"/>
        </w:trPr>
        <w:tc>
          <w:tcPr>
            <w:tcW w:w="7095" w:type="dxa"/>
            <w:gridSpan w:val="4"/>
            <w:tcBorders>
              <w:top w:val="single" w:sz="12" w:space="0" w:color="auto"/>
              <w:left w:val="single" w:sz="12" w:space="0" w:color="auto"/>
              <w:bottom w:val="nil"/>
              <w:right w:val="single" w:sz="12" w:space="0" w:color="000000"/>
            </w:tcBorders>
            <w:shd w:val="clear" w:color="auto" w:fill="auto"/>
            <w:vAlign w:val="center"/>
            <w:hideMark/>
          </w:tcPr>
          <w:p w:rsidR="00D94E70" w:rsidRPr="00D94E70" w:rsidRDefault="00D94E70" w:rsidP="00D94E70">
            <w:pPr>
              <w:spacing w:after="0" w:line="240" w:lineRule="auto"/>
              <w:jc w:val="center"/>
              <w:rPr>
                <w:rFonts w:ascii="Calibri" w:eastAsia="Times New Roman" w:hAnsi="Calibri" w:cs="Times New Roman"/>
                <w:b/>
                <w:bCs/>
              </w:rPr>
            </w:pPr>
            <w:r w:rsidRPr="00D94E70">
              <w:rPr>
                <w:rFonts w:ascii="Calibri" w:eastAsia="Times New Roman" w:hAnsi="Calibri" w:cs="Times New Roman"/>
                <w:b/>
                <w:bCs/>
              </w:rPr>
              <w:t>Table 2. Age of Fatal Crash Drivers* with Marihuana**, 0.08+, and No Alcohol,  2014 FARS Data</w:t>
            </w:r>
          </w:p>
        </w:tc>
      </w:tr>
      <w:tr w:rsidR="00D94E70" w:rsidRPr="00D94E70" w:rsidTr="00BA0C6E">
        <w:trPr>
          <w:trHeight w:val="330"/>
          <w:jc w:val="center"/>
        </w:trPr>
        <w:tc>
          <w:tcPr>
            <w:tcW w:w="173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rPr>
            </w:pPr>
            <w:r w:rsidRPr="00D94E70">
              <w:rPr>
                <w:rFonts w:ascii="Calibri" w:eastAsia="Times New Roman" w:hAnsi="Calibri" w:cs="Times New Roman"/>
                <w:b/>
                <w:bCs/>
              </w:rPr>
              <w:t>Group</w:t>
            </w:r>
          </w:p>
        </w:tc>
        <w:tc>
          <w:tcPr>
            <w:tcW w:w="1847" w:type="dxa"/>
            <w:tcBorders>
              <w:top w:val="single" w:sz="12" w:space="0" w:color="auto"/>
              <w:left w:val="nil"/>
              <w:bottom w:val="single" w:sz="12" w:space="0" w:color="auto"/>
              <w:right w:val="single" w:sz="4"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rPr>
            </w:pPr>
            <w:r w:rsidRPr="00D94E70">
              <w:rPr>
                <w:rFonts w:ascii="Calibri" w:eastAsia="Times New Roman" w:hAnsi="Calibri" w:cs="Times New Roman"/>
                <w:b/>
                <w:bCs/>
              </w:rPr>
              <w:t>No Alcohol</w:t>
            </w:r>
          </w:p>
        </w:tc>
        <w:tc>
          <w:tcPr>
            <w:tcW w:w="1710" w:type="dxa"/>
            <w:tcBorders>
              <w:top w:val="single" w:sz="12" w:space="0" w:color="auto"/>
              <w:left w:val="nil"/>
              <w:bottom w:val="single" w:sz="12" w:space="0" w:color="auto"/>
              <w:right w:val="single" w:sz="4"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rPr>
            </w:pPr>
            <w:r w:rsidRPr="00D94E70">
              <w:rPr>
                <w:rFonts w:ascii="Calibri" w:eastAsia="Times New Roman" w:hAnsi="Calibri" w:cs="Times New Roman"/>
                <w:b/>
                <w:bCs/>
              </w:rPr>
              <w:t>marihuana</w:t>
            </w:r>
          </w:p>
        </w:tc>
        <w:tc>
          <w:tcPr>
            <w:tcW w:w="1800" w:type="dxa"/>
            <w:tcBorders>
              <w:top w:val="single" w:sz="12" w:space="0" w:color="auto"/>
              <w:left w:val="nil"/>
              <w:bottom w:val="single" w:sz="12" w:space="0" w:color="auto"/>
              <w:right w:val="single" w:sz="12"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rPr>
            </w:pPr>
            <w:r w:rsidRPr="00D94E70">
              <w:rPr>
                <w:rFonts w:ascii="Calibri" w:eastAsia="Times New Roman" w:hAnsi="Calibri" w:cs="Times New Roman"/>
                <w:b/>
                <w:bCs/>
              </w:rPr>
              <w:t>08+</w:t>
            </w:r>
          </w:p>
        </w:tc>
      </w:tr>
      <w:tr w:rsidR="00D94E70" w:rsidRPr="00D94E70" w:rsidTr="00BA0C6E">
        <w:trPr>
          <w:trHeight w:val="315"/>
          <w:jc w:val="center"/>
        </w:trPr>
        <w:tc>
          <w:tcPr>
            <w:tcW w:w="1738" w:type="dxa"/>
            <w:tcBorders>
              <w:top w:val="nil"/>
              <w:left w:val="single" w:sz="12" w:space="0" w:color="auto"/>
              <w:bottom w:val="single" w:sz="4" w:space="0" w:color="auto"/>
              <w:right w:val="single" w:sz="12" w:space="0" w:color="auto"/>
            </w:tcBorders>
            <w:shd w:val="clear" w:color="auto" w:fill="auto"/>
            <w:vAlign w:val="center"/>
            <w:hideMark/>
          </w:tcPr>
          <w:p w:rsidR="00D94E70" w:rsidRPr="00D94E70" w:rsidRDefault="00D94E70" w:rsidP="00D94E70">
            <w:pPr>
              <w:spacing w:after="0" w:line="240" w:lineRule="auto"/>
              <w:rPr>
                <w:rFonts w:ascii="Calibri" w:eastAsia="Times New Roman" w:hAnsi="Calibri" w:cs="Times New Roman"/>
                <w:b/>
                <w:bCs/>
              </w:rPr>
            </w:pPr>
            <w:r w:rsidRPr="00D94E70">
              <w:rPr>
                <w:rFonts w:ascii="Calibri" w:eastAsia="Times New Roman" w:hAnsi="Calibri" w:cs="Times New Roman"/>
                <w:b/>
                <w:bCs/>
              </w:rPr>
              <w:t>Median age</w:t>
            </w:r>
          </w:p>
        </w:tc>
        <w:tc>
          <w:tcPr>
            <w:tcW w:w="1847" w:type="dxa"/>
            <w:tcBorders>
              <w:top w:val="nil"/>
              <w:left w:val="nil"/>
              <w:bottom w:val="single" w:sz="4" w:space="0" w:color="auto"/>
              <w:right w:val="single" w:sz="4"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rPr>
            </w:pPr>
            <w:r w:rsidRPr="00D94E70">
              <w:rPr>
                <w:rFonts w:ascii="Calibri" w:eastAsia="Times New Roman" w:hAnsi="Calibri" w:cs="Times New Roman"/>
                <w:b/>
                <w:bCs/>
              </w:rPr>
              <w:t>26 years</w:t>
            </w:r>
          </w:p>
        </w:tc>
        <w:tc>
          <w:tcPr>
            <w:tcW w:w="1710" w:type="dxa"/>
            <w:tcBorders>
              <w:top w:val="nil"/>
              <w:left w:val="nil"/>
              <w:bottom w:val="single" w:sz="4" w:space="0" w:color="auto"/>
              <w:right w:val="single" w:sz="4"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rPr>
            </w:pPr>
            <w:r w:rsidRPr="00D94E70">
              <w:rPr>
                <w:rFonts w:ascii="Calibri" w:eastAsia="Times New Roman" w:hAnsi="Calibri" w:cs="Times New Roman"/>
                <w:b/>
                <w:bCs/>
              </w:rPr>
              <w:t>26 years</w:t>
            </w:r>
          </w:p>
        </w:tc>
        <w:tc>
          <w:tcPr>
            <w:tcW w:w="1800" w:type="dxa"/>
            <w:tcBorders>
              <w:top w:val="nil"/>
              <w:left w:val="nil"/>
              <w:bottom w:val="single" w:sz="4" w:space="0" w:color="auto"/>
              <w:right w:val="single" w:sz="12"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rPr>
            </w:pPr>
            <w:r w:rsidRPr="00D94E70">
              <w:rPr>
                <w:rFonts w:ascii="Calibri" w:eastAsia="Times New Roman" w:hAnsi="Calibri" w:cs="Times New Roman"/>
                <w:b/>
                <w:bCs/>
              </w:rPr>
              <w:t>32 years</w:t>
            </w:r>
          </w:p>
        </w:tc>
      </w:tr>
      <w:tr w:rsidR="00D94E70" w:rsidRPr="00D94E70" w:rsidTr="00BA0C6E">
        <w:trPr>
          <w:trHeight w:val="315"/>
          <w:jc w:val="center"/>
        </w:trPr>
        <w:tc>
          <w:tcPr>
            <w:tcW w:w="1738" w:type="dxa"/>
            <w:tcBorders>
              <w:top w:val="nil"/>
              <w:left w:val="single" w:sz="12" w:space="0" w:color="auto"/>
              <w:bottom w:val="single" w:sz="12" w:space="0" w:color="auto"/>
              <w:right w:val="single" w:sz="12" w:space="0" w:color="auto"/>
            </w:tcBorders>
            <w:shd w:val="clear" w:color="auto" w:fill="auto"/>
            <w:vAlign w:val="center"/>
            <w:hideMark/>
          </w:tcPr>
          <w:p w:rsidR="00D94E70" w:rsidRPr="00D94E70" w:rsidRDefault="00D94E70" w:rsidP="00D94E70">
            <w:pPr>
              <w:spacing w:after="0" w:line="240" w:lineRule="auto"/>
              <w:rPr>
                <w:rFonts w:ascii="Calibri" w:eastAsia="Times New Roman" w:hAnsi="Calibri" w:cs="Times New Roman"/>
                <w:b/>
                <w:bCs/>
              </w:rPr>
            </w:pPr>
            <w:r w:rsidRPr="00D94E70">
              <w:rPr>
                <w:rFonts w:ascii="Calibri" w:eastAsia="Times New Roman" w:hAnsi="Calibri" w:cs="Times New Roman"/>
                <w:b/>
                <w:bCs/>
              </w:rPr>
              <w:t xml:space="preserve">3 highest years </w:t>
            </w:r>
          </w:p>
        </w:tc>
        <w:tc>
          <w:tcPr>
            <w:tcW w:w="1847" w:type="dxa"/>
            <w:tcBorders>
              <w:top w:val="nil"/>
              <w:left w:val="nil"/>
              <w:bottom w:val="single" w:sz="12" w:space="0" w:color="auto"/>
              <w:right w:val="single" w:sz="4"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rPr>
            </w:pPr>
            <w:r w:rsidRPr="00D94E70">
              <w:rPr>
                <w:rFonts w:ascii="Calibri" w:eastAsia="Times New Roman" w:hAnsi="Calibri" w:cs="Times New Roman"/>
                <w:b/>
                <w:bCs/>
              </w:rPr>
              <w:t>18-20</w:t>
            </w:r>
          </w:p>
        </w:tc>
        <w:tc>
          <w:tcPr>
            <w:tcW w:w="1710" w:type="dxa"/>
            <w:tcBorders>
              <w:top w:val="nil"/>
              <w:left w:val="nil"/>
              <w:bottom w:val="single" w:sz="12" w:space="0" w:color="auto"/>
              <w:right w:val="single" w:sz="4"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rPr>
            </w:pPr>
            <w:r w:rsidRPr="00D94E70">
              <w:rPr>
                <w:rFonts w:ascii="Calibri" w:eastAsia="Times New Roman" w:hAnsi="Calibri" w:cs="Times New Roman"/>
                <w:b/>
                <w:bCs/>
              </w:rPr>
              <w:t>19-21</w:t>
            </w:r>
          </w:p>
        </w:tc>
        <w:tc>
          <w:tcPr>
            <w:tcW w:w="1800" w:type="dxa"/>
            <w:tcBorders>
              <w:top w:val="nil"/>
              <w:left w:val="nil"/>
              <w:bottom w:val="single" w:sz="12" w:space="0" w:color="auto"/>
              <w:right w:val="single" w:sz="12"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rPr>
            </w:pPr>
            <w:r w:rsidRPr="00D94E70">
              <w:rPr>
                <w:rFonts w:ascii="Calibri" w:eastAsia="Times New Roman" w:hAnsi="Calibri" w:cs="Times New Roman"/>
                <w:b/>
                <w:bCs/>
              </w:rPr>
              <w:t>21-23</w:t>
            </w:r>
          </w:p>
        </w:tc>
      </w:tr>
      <w:tr w:rsidR="00D94E70" w:rsidRPr="00D94E70" w:rsidTr="00BA0C6E">
        <w:trPr>
          <w:trHeight w:val="315"/>
          <w:jc w:val="center"/>
        </w:trPr>
        <w:tc>
          <w:tcPr>
            <w:tcW w:w="7095" w:type="dxa"/>
            <w:gridSpan w:val="4"/>
            <w:tcBorders>
              <w:top w:val="single" w:sz="12" w:space="0" w:color="auto"/>
              <w:left w:val="nil"/>
              <w:bottom w:val="nil"/>
              <w:right w:val="nil"/>
            </w:tcBorders>
            <w:shd w:val="clear" w:color="auto" w:fill="auto"/>
            <w:vAlign w:val="bottom"/>
            <w:hideMark/>
          </w:tcPr>
          <w:p w:rsidR="00D94E70" w:rsidRPr="00D94E70" w:rsidRDefault="00D94E70" w:rsidP="00D94E70">
            <w:pPr>
              <w:spacing w:after="0" w:line="240" w:lineRule="auto"/>
              <w:rPr>
                <w:rFonts w:ascii="Calibri" w:eastAsia="Times New Roman" w:hAnsi="Calibri" w:cs="Times New Roman"/>
                <w:color w:val="000000"/>
              </w:rPr>
            </w:pPr>
            <w:r w:rsidRPr="00D94E70">
              <w:rPr>
                <w:rFonts w:ascii="Calibri" w:eastAsia="Times New Roman" w:hAnsi="Calibri" w:cs="Times New Roman"/>
                <w:color w:val="000000"/>
              </w:rPr>
              <w:t>* Passenger Vehicle/Lt trucks.      ** Drug Test 1</w:t>
            </w:r>
          </w:p>
        </w:tc>
      </w:tr>
    </w:tbl>
    <w:p w:rsidR="00D94E70" w:rsidRDefault="00D94E70" w:rsidP="00D94E70"/>
    <w:p w:rsidR="00D94E70" w:rsidRDefault="00D94E70" w:rsidP="00D94E70">
      <w:r>
        <w:t>In summary, marihuana drivers in fatal crashes, and like DUI drivers, are more likely to be speeding and going off the road into non-moving objects and rolling over.  Also the median age involvement in fatal crashes of marihuana drivers is 6 years younger than DUI alcohol drivers.</w:t>
      </w:r>
    </w:p>
    <w:p w:rsidR="00D94E70" w:rsidRDefault="00D94E70" w:rsidP="00D94E70">
      <w:r>
        <w:t>Table 3 shows involvement of marihuana in 15.3% of the fatal crash drivers that have been tested for drugs. At 15%, it is already half the percentage of alcohol, 31%, with 23 states sanctioning legal sale or use for medical purposes.  Also note the level of involvement of marihuana in fatal crashes in California, the first-approved medical marihuana state, and Colorado and Washington where we have marihuana available for both medical and recreational use since 2013.  Especially troublesome is the level in Washington State at 27%, almost at the present level of alcohol of involvement at 29%.</w:t>
      </w:r>
    </w:p>
    <w:p w:rsidR="00D94E70" w:rsidRDefault="00D94E70" w:rsidP="00D94E70">
      <w:r>
        <w:t>Further data shows that marihuana drivers are also heavily involved in drinking with 40% of the US drivers with marihuana also DUI at a BAC of 0.08% or higher. Washington State also is at 40%.</w:t>
      </w:r>
    </w:p>
    <w:tbl>
      <w:tblPr>
        <w:tblW w:w="6460" w:type="dxa"/>
        <w:jc w:val="center"/>
        <w:tblLook w:val="04A0" w:firstRow="1" w:lastRow="0" w:firstColumn="1" w:lastColumn="0" w:noHBand="0" w:noVBand="1"/>
      </w:tblPr>
      <w:tblGrid>
        <w:gridCol w:w="3156"/>
        <w:gridCol w:w="882"/>
        <w:gridCol w:w="882"/>
        <w:gridCol w:w="882"/>
        <w:gridCol w:w="882"/>
      </w:tblGrid>
      <w:tr w:rsidR="00D94E70" w:rsidRPr="00D94E70" w:rsidTr="00D94E70">
        <w:trPr>
          <w:trHeight w:val="600"/>
          <w:jc w:val="center"/>
        </w:trPr>
        <w:tc>
          <w:tcPr>
            <w:tcW w:w="6460" w:type="dxa"/>
            <w:gridSpan w:val="5"/>
            <w:tcBorders>
              <w:top w:val="single" w:sz="12" w:space="0" w:color="auto"/>
              <w:left w:val="single" w:sz="12" w:space="0" w:color="auto"/>
              <w:bottom w:val="single" w:sz="12" w:space="0" w:color="auto"/>
              <w:right w:val="single" w:sz="12" w:space="0" w:color="000000"/>
            </w:tcBorders>
            <w:shd w:val="clear" w:color="auto" w:fill="auto"/>
            <w:vAlign w:val="center"/>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Table 3. Marihuana Involved in US Fatal Crashes, Selected States &amp; US, 2013 vs. 2014, FARS Data</w:t>
            </w:r>
          </w:p>
        </w:tc>
      </w:tr>
      <w:tr w:rsidR="00D94E70" w:rsidRPr="00D94E70" w:rsidTr="00D94E70">
        <w:trPr>
          <w:trHeight w:val="330"/>
          <w:jc w:val="center"/>
        </w:trPr>
        <w:tc>
          <w:tcPr>
            <w:tcW w:w="3156" w:type="dxa"/>
            <w:tcBorders>
              <w:top w:val="nil"/>
              <w:left w:val="single" w:sz="12" w:space="0" w:color="auto"/>
              <w:bottom w:val="single" w:sz="12" w:space="0" w:color="auto"/>
              <w:right w:val="single" w:sz="8" w:space="0" w:color="auto"/>
            </w:tcBorders>
            <w:shd w:val="clear" w:color="auto" w:fill="auto"/>
            <w:noWrap/>
            <w:vAlign w:val="center"/>
            <w:hideMark/>
          </w:tcPr>
          <w:p w:rsidR="00D94E70" w:rsidRPr="00D94E70" w:rsidRDefault="00D94E70" w:rsidP="00D94E70">
            <w:pPr>
              <w:spacing w:after="0" w:line="240" w:lineRule="auto"/>
              <w:rPr>
                <w:rFonts w:ascii="Calibri" w:eastAsia="Times New Roman" w:hAnsi="Calibri" w:cs="Times New Roman"/>
                <w:color w:val="000000"/>
              </w:rPr>
            </w:pPr>
            <w:r w:rsidRPr="00D94E70">
              <w:rPr>
                <w:rFonts w:ascii="Calibri" w:eastAsia="Times New Roman" w:hAnsi="Calibri" w:cs="Times New Roman"/>
                <w:color w:val="000000"/>
              </w:rPr>
              <w:t> </w:t>
            </w:r>
          </w:p>
        </w:tc>
        <w:tc>
          <w:tcPr>
            <w:tcW w:w="826" w:type="dxa"/>
            <w:tcBorders>
              <w:top w:val="nil"/>
              <w:left w:val="nil"/>
              <w:bottom w:val="single" w:sz="12"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CA</w:t>
            </w:r>
          </w:p>
        </w:tc>
        <w:tc>
          <w:tcPr>
            <w:tcW w:w="826" w:type="dxa"/>
            <w:tcBorders>
              <w:top w:val="nil"/>
              <w:left w:val="nil"/>
              <w:bottom w:val="single" w:sz="12"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CO</w:t>
            </w:r>
          </w:p>
        </w:tc>
        <w:tc>
          <w:tcPr>
            <w:tcW w:w="826" w:type="dxa"/>
            <w:tcBorders>
              <w:top w:val="nil"/>
              <w:left w:val="nil"/>
              <w:bottom w:val="single" w:sz="12"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WA</w:t>
            </w:r>
          </w:p>
        </w:tc>
        <w:tc>
          <w:tcPr>
            <w:tcW w:w="826" w:type="dxa"/>
            <w:tcBorders>
              <w:top w:val="nil"/>
              <w:left w:val="nil"/>
              <w:bottom w:val="single" w:sz="12" w:space="0" w:color="auto"/>
              <w:right w:val="single" w:sz="12"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US</w:t>
            </w:r>
          </w:p>
        </w:tc>
      </w:tr>
      <w:tr w:rsidR="00D94E70" w:rsidRPr="00D94E70" w:rsidTr="00D94E70">
        <w:trPr>
          <w:trHeight w:val="330"/>
          <w:jc w:val="center"/>
        </w:trPr>
        <w:tc>
          <w:tcPr>
            <w:tcW w:w="6460" w:type="dxa"/>
            <w:gridSpan w:val="5"/>
            <w:tcBorders>
              <w:top w:val="single" w:sz="12" w:space="0" w:color="auto"/>
              <w:left w:val="single" w:sz="12" w:space="0" w:color="auto"/>
              <w:bottom w:val="single" w:sz="8" w:space="0" w:color="auto"/>
              <w:right w:val="single" w:sz="12" w:space="0" w:color="000000"/>
            </w:tcBorders>
            <w:shd w:val="clear" w:color="auto" w:fill="auto"/>
            <w:vAlign w:val="center"/>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2013</w:t>
            </w:r>
          </w:p>
        </w:tc>
      </w:tr>
      <w:tr w:rsidR="00D94E70" w:rsidRPr="00D94E70" w:rsidTr="00D94E70">
        <w:trPr>
          <w:trHeight w:val="315"/>
          <w:jc w:val="center"/>
        </w:trPr>
        <w:tc>
          <w:tcPr>
            <w:tcW w:w="3156" w:type="dxa"/>
            <w:tcBorders>
              <w:top w:val="nil"/>
              <w:left w:val="single" w:sz="12" w:space="0" w:color="auto"/>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rPr>
                <w:rFonts w:ascii="Calibri" w:eastAsia="Times New Roman" w:hAnsi="Calibri" w:cs="Times New Roman"/>
                <w:color w:val="000000"/>
              </w:rPr>
            </w:pPr>
            <w:r w:rsidRPr="00D94E70">
              <w:rPr>
                <w:rFonts w:ascii="Calibri" w:eastAsia="Times New Roman" w:hAnsi="Calibri" w:cs="Times New Roman"/>
                <w:color w:val="000000"/>
              </w:rPr>
              <w:t>Total drug tested</w:t>
            </w:r>
          </w:p>
        </w:tc>
        <w:tc>
          <w:tcPr>
            <w:tcW w:w="826" w:type="dxa"/>
            <w:tcBorders>
              <w:top w:val="nil"/>
              <w:left w:val="nil"/>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1167</w:t>
            </w:r>
          </w:p>
        </w:tc>
        <w:tc>
          <w:tcPr>
            <w:tcW w:w="826" w:type="dxa"/>
            <w:tcBorders>
              <w:top w:val="nil"/>
              <w:left w:val="nil"/>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176</w:t>
            </w:r>
          </w:p>
        </w:tc>
        <w:tc>
          <w:tcPr>
            <w:tcW w:w="826" w:type="dxa"/>
            <w:tcBorders>
              <w:top w:val="nil"/>
              <w:left w:val="nil"/>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217</w:t>
            </w:r>
          </w:p>
        </w:tc>
        <w:tc>
          <w:tcPr>
            <w:tcW w:w="826" w:type="dxa"/>
            <w:tcBorders>
              <w:top w:val="nil"/>
              <w:left w:val="nil"/>
              <w:bottom w:val="single" w:sz="8" w:space="0" w:color="auto"/>
              <w:right w:val="single" w:sz="12"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11906</w:t>
            </w:r>
          </w:p>
        </w:tc>
      </w:tr>
      <w:tr w:rsidR="00D94E70" w:rsidRPr="00D94E70" w:rsidTr="00D94E70">
        <w:trPr>
          <w:trHeight w:val="315"/>
          <w:jc w:val="center"/>
        </w:trPr>
        <w:tc>
          <w:tcPr>
            <w:tcW w:w="3156" w:type="dxa"/>
            <w:tcBorders>
              <w:top w:val="nil"/>
              <w:left w:val="single" w:sz="12" w:space="0" w:color="auto"/>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rPr>
                <w:rFonts w:ascii="Calibri" w:eastAsia="Times New Roman" w:hAnsi="Calibri" w:cs="Times New Roman"/>
                <w:color w:val="000000"/>
              </w:rPr>
            </w:pPr>
            <w:r w:rsidRPr="00D94E70">
              <w:rPr>
                <w:rFonts w:ascii="Calibri" w:eastAsia="Times New Roman" w:hAnsi="Calibri" w:cs="Times New Roman"/>
                <w:color w:val="000000"/>
              </w:rPr>
              <w:t>Marihuana found</w:t>
            </w:r>
          </w:p>
        </w:tc>
        <w:tc>
          <w:tcPr>
            <w:tcW w:w="826" w:type="dxa"/>
            <w:tcBorders>
              <w:top w:val="nil"/>
              <w:left w:val="nil"/>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206</w:t>
            </w:r>
          </w:p>
        </w:tc>
        <w:tc>
          <w:tcPr>
            <w:tcW w:w="826" w:type="dxa"/>
            <w:tcBorders>
              <w:top w:val="nil"/>
              <w:left w:val="nil"/>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30</w:t>
            </w:r>
          </w:p>
        </w:tc>
        <w:tc>
          <w:tcPr>
            <w:tcW w:w="826" w:type="dxa"/>
            <w:tcBorders>
              <w:top w:val="nil"/>
              <w:left w:val="nil"/>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41</w:t>
            </w:r>
          </w:p>
        </w:tc>
        <w:tc>
          <w:tcPr>
            <w:tcW w:w="826" w:type="dxa"/>
            <w:tcBorders>
              <w:top w:val="nil"/>
              <w:left w:val="nil"/>
              <w:bottom w:val="single" w:sz="8" w:space="0" w:color="auto"/>
              <w:right w:val="single" w:sz="12"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1729</w:t>
            </w:r>
          </w:p>
        </w:tc>
      </w:tr>
      <w:tr w:rsidR="00D94E70" w:rsidRPr="00D94E70" w:rsidTr="00D94E70">
        <w:trPr>
          <w:trHeight w:val="315"/>
          <w:jc w:val="center"/>
        </w:trPr>
        <w:tc>
          <w:tcPr>
            <w:tcW w:w="3156" w:type="dxa"/>
            <w:tcBorders>
              <w:top w:val="nil"/>
              <w:left w:val="single" w:sz="12" w:space="0" w:color="auto"/>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rPr>
                <w:rFonts w:ascii="Calibri" w:eastAsia="Times New Roman" w:hAnsi="Calibri" w:cs="Times New Roman"/>
                <w:b/>
                <w:bCs/>
                <w:color w:val="000000"/>
              </w:rPr>
            </w:pPr>
            <w:r w:rsidRPr="00D94E70">
              <w:rPr>
                <w:rFonts w:ascii="Calibri" w:eastAsia="Times New Roman" w:hAnsi="Calibri" w:cs="Times New Roman"/>
                <w:b/>
                <w:bCs/>
                <w:color w:val="000000"/>
              </w:rPr>
              <w:t>% marihuana</w:t>
            </w:r>
          </w:p>
        </w:tc>
        <w:tc>
          <w:tcPr>
            <w:tcW w:w="826" w:type="dxa"/>
            <w:tcBorders>
              <w:top w:val="nil"/>
              <w:left w:val="nil"/>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17.70%</w:t>
            </w:r>
          </w:p>
        </w:tc>
        <w:tc>
          <w:tcPr>
            <w:tcW w:w="826" w:type="dxa"/>
            <w:tcBorders>
              <w:top w:val="nil"/>
              <w:left w:val="nil"/>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17.00%</w:t>
            </w:r>
          </w:p>
        </w:tc>
        <w:tc>
          <w:tcPr>
            <w:tcW w:w="826" w:type="dxa"/>
            <w:tcBorders>
              <w:top w:val="nil"/>
              <w:left w:val="nil"/>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18.90%</w:t>
            </w:r>
          </w:p>
        </w:tc>
        <w:tc>
          <w:tcPr>
            <w:tcW w:w="826" w:type="dxa"/>
            <w:tcBorders>
              <w:top w:val="nil"/>
              <w:left w:val="nil"/>
              <w:bottom w:val="single" w:sz="8" w:space="0" w:color="auto"/>
              <w:right w:val="single" w:sz="12"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14.50%</w:t>
            </w:r>
          </w:p>
        </w:tc>
      </w:tr>
      <w:tr w:rsidR="00D94E70" w:rsidRPr="00D94E70" w:rsidTr="00D94E70">
        <w:trPr>
          <w:trHeight w:val="315"/>
          <w:jc w:val="center"/>
        </w:trPr>
        <w:tc>
          <w:tcPr>
            <w:tcW w:w="6460" w:type="dxa"/>
            <w:gridSpan w:val="5"/>
            <w:tcBorders>
              <w:top w:val="single" w:sz="8" w:space="0" w:color="auto"/>
              <w:left w:val="single" w:sz="12" w:space="0" w:color="auto"/>
              <w:bottom w:val="single" w:sz="8" w:space="0" w:color="auto"/>
              <w:right w:val="single" w:sz="12" w:space="0" w:color="000000"/>
            </w:tcBorders>
            <w:shd w:val="clear" w:color="auto" w:fill="auto"/>
            <w:vAlign w:val="center"/>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2014</w:t>
            </w:r>
          </w:p>
        </w:tc>
      </w:tr>
      <w:tr w:rsidR="00D94E70" w:rsidRPr="00D94E70" w:rsidTr="00D94E70">
        <w:trPr>
          <w:trHeight w:val="315"/>
          <w:jc w:val="center"/>
        </w:trPr>
        <w:tc>
          <w:tcPr>
            <w:tcW w:w="3156" w:type="dxa"/>
            <w:tcBorders>
              <w:top w:val="nil"/>
              <w:left w:val="single" w:sz="12" w:space="0" w:color="auto"/>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rPr>
                <w:rFonts w:ascii="Calibri" w:eastAsia="Times New Roman" w:hAnsi="Calibri" w:cs="Times New Roman"/>
                <w:color w:val="000000"/>
              </w:rPr>
            </w:pPr>
            <w:r w:rsidRPr="00D94E70">
              <w:rPr>
                <w:rFonts w:ascii="Calibri" w:eastAsia="Times New Roman" w:hAnsi="Calibri" w:cs="Times New Roman"/>
                <w:color w:val="000000"/>
              </w:rPr>
              <w:t>Total drug tested</w:t>
            </w:r>
          </w:p>
        </w:tc>
        <w:tc>
          <w:tcPr>
            <w:tcW w:w="826" w:type="dxa"/>
            <w:tcBorders>
              <w:top w:val="nil"/>
              <w:left w:val="nil"/>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1193</w:t>
            </w:r>
          </w:p>
        </w:tc>
        <w:tc>
          <w:tcPr>
            <w:tcW w:w="826" w:type="dxa"/>
            <w:tcBorders>
              <w:top w:val="nil"/>
              <w:left w:val="nil"/>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216</w:t>
            </w:r>
          </w:p>
        </w:tc>
        <w:tc>
          <w:tcPr>
            <w:tcW w:w="826" w:type="dxa"/>
            <w:tcBorders>
              <w:top w:val="nil"/>
              <w:left w:val="nil"/>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262</w:t>
            </w:r>
          </w:p>
        </w:tc>
        <w:tc>
          <w:tcPr>
            <w:tcW w:w="826" w:type="dxa"/>
            <w:tcBorders>
              <w:top w:val="nil"/>
              <w:left w:val="nil"/>
              <w:bottom w:val="single" w:sz="8" w:space="0" w:color="auto"/>
              <w:right w:val="single" w:sz="12"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12411</w:t>
            </w:r>
          </w:p>
        </w:tc>
      </w:tr>
      <w:tr w:rsidR="00D94E70" w:rsidRPr="00D94E70" w:rsidTr="00D94E70">
        <w:trPr>
          <w:trHeight w:val="315"/>
          <w:jc w:val="center"/>
        </w:trPr>
        <w:tc>
          <w:tcPr>
            <w:tcW w:w="3156" w:type="dxa"/>
            <w:tcBorders>
              <w:top w:val="nil"/>
              <w:left w:val="single" w:sz="12" w:space="0" w:color="auto"/>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rPr>
                <w:rFonts w:ascii="Calibri" w:eastAsia="Times New Roman" w:hAnsi="Calibri" w:cs="Times New Roman"/>
                <w:color w:val="000000"/>
              </w:rPr>
            </w:pPr>
            <w:r w:rsidRPr="00D94E70">
              <w:rPr>
                <w:rFonts w:ascii="Calibri" w:eastAsia="Times New Roman" w:hAnsi="Calibri" w:cs="Times New Roman"/>
                <w:color w:val="000000"/>
              </w:rPr>
              <w:t>Marihuana found in drug test</w:t>
            </w:r>
          </w:p>
        </w:tc>
        <w:tc>
          <w:tcPr>
            <w:tcW w:w="826" w:type="dxa"/>
            <w:tcBorders>
              <w:top w:val="nil"/>
              <w:left w:val="nil"/>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233</w:t>
            </w:r>
          </w:p>
        </w:tc>
        <w:tc>
          <w:tcPr>
            <w:tcW w:w="826" w:type="dxa"/>
            <w:tcBorders>
              <w:top w:val="nil"/>
              <w:left w:val="nil"/>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42</w:t>
            </w:r>
          </w:p>
        </w:tc>
        <w:tc>
          <w:tcPr>
            <w:tcW w:w="826" w:type="dxa"/>
            <w:tcBorders>
              <w:top w:val="nil"/>
              <w:left w:val="nil"/>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71</w:t>
            </w:r>
          </w:p>
        </w:tc>
        <w:tc>
          <w:tcPr>
            <w:tcW w:w="826" w:type="dxa"/>
            <w:tcBorders>
              <w:top w:val="nil"/>
              <w:left w:val="nil"/>
              <w:bottom w:val="single" w:sz="8" w:space="0" w:color="auto"/>
              <w:right w:val="single" w:sz="12"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color w:val="000000"/>
              </w:rPr>
            </w:pPr>
            <w:r w:rsidRPr="00D94E70">
              <w:rPr>
                <w:rFonts w:ascii="Calibri" w:eastAsia="Times New Roman" w:hAnsi="Calibri" w:cs="Times New Roman"/>
                <w:color w:val="000000"/>
              </w:rPr>
              <w:t>1900</w:t>
            </w:r>
          </w:p>
        </w:tc>
      </w:tr>
      <w:tr w:rsidR="00D94E70" w:rsidRPr="00D94E70" w:rsidTr="00D94E70">
        <w:trPr>
          <w:trHeight w:val="315"/>
          <w:jc w:val="center"/>
        </w:trPr>
        <w:tc>
          <w:tcPr>
            <w:tcW w:w="3156" w:type="dxa"/>
            <w:tcBorders>
              <w:top w:val="nil"/>
              <w:left w:val="single" w:sz="12" w:space="0" w:color="auto"/>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rPr>
                <w:rFonts w:ascii="Calibri" w:eastAsia="Times New Roman" w:hAnsi="Calibri" w:cs="Times New Roman"/>
                <w:b/>
                <w:bCs/>
                <w:color w:val="000000"/>
              </w:rPr>
            </w:pPr>
            <w:r w:rsidRPr="00D94E70">
              <w:rPr>
                <w:rFonts w:ascii="Calibri" w:eastAsia="Times New Roman" w:hAnsi="Calibri" w:cs="Times New Roman"/>
                <w:b/>
                <w:bCs/>
                <w:color w:val="000000"/>
              </w:rPr>
              <w:t xml:space="preserve">% Marihuana </w:t>
            </w:r>
          </w:p>
        </w:tc>
        <w:tc>
          <w:tcPr>
            <w:tcW w:w="826" w:type="dxa"/>
            <w:tcBorders>
              <w:top w:val="nil"/>
              <w:left w:val="nil"/>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19.50%</w:t>
            </w:r>
          </w:p>
        </w:tc>
        <w:tc>
          <w:tcPr>
            <w:tcW w:w="826" w:type="dxa"/>
            <w:tcBorders>
              <w:top w:val="nil"/>
              <w:left w:val="nil"/>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19.40%</w:t>
            </w:r>
          </w:p>
        </w:tc>
        <w:tc>
          <w:tcPr>
            <w:tcW w:w="826" w:type="dxa"/>
            <w:tcBorders>
              <w:top w:val="nil"/>
              <w:left w:val="nil"/>
              <w:bottom w:val="single" w:sz="8"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27.1%</w:t>
            </w:r>
            <w:r w:rsidRPr="00D94E70">
              <w:rPr>
                <w:rFonts w:ascii="Calibri" w:eastAsia="Times New Roman" w:hAnsi="Calibri" w:cs="Times New Roman"/>
                <w:color w:val="000000"/>
                <w:sz w:val="16"/>
                <w:szCs w:val="16"/>
              </w:rPr>
              <w:t> </w:t>
            </w:r>
          </w:p>
        </w:tc>
        <w:tc>
          <w:tcPr>
            <w:tcW w:w="826" w:type="dxa"/>
            <w:tcBorders>
              <w:top w:val="nil"/>
              <w:left w:val="nil"/>
              <w:bottom w:val="single" w:sz="8" w:space="0" w:color="auto"/>
              <w:right w:val="single" w:sz="12"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color w:val="000000"/>
              </w:rPr>
            </w:pPr>
            <w:r w:rsidRPr="00D94E70">
              <w:rPr>
                <w:rFonts w:ascii="Calibri" w:eastAsia="Times New Roman" w:hAnsi="Calibri" w:cs="Times New Roman"/>
                <w:b/>
                <w:bCs/>
                <w:color w:val="000000"/>
              </w:rPr>
              <w:t>15.30%</w:t>
            </w:r>
          </w:p>
        </w:tc>
      </w:tr>
      <w:tr w:rsidR="00D94E70" w:rsidRPr="00D94E70" w:rsidTr="00D94E70">
        <w:trPr>
          <w:trHeight w:val="315"/>
          <w:jc w:val="center"/>
        </w:trPr>
        <w:tc>
          <w:tcPr>
            <w:tcW w:w="3156" w:type="dxa"/>
            <w:tcBorders>
              <w:top w:val="nil"/>
              <w:left w:val="single" w:sz="12" w:space="0" w:color="auto"/>
              <w:bottom w:val="single" w:sz="12" w:space="0" w:color="auto"/>
              <w:right w:val="single" w:sz="8" w:space="0" w:color="auto"/>
            </w:tcBorders>
            <w:shd w:val="clear" w:color="auto" w:fill="auto"/>
            <w:noWrap/>
            <w:vAlign w:val="center"/>
            <w:hideMark/>
          </w:tcPr>
          <w:p w:rsidR="00D94E70" w:rsidRPr="00D94E70" w:rsidRDefault="00D94E70" w:rsidP="00D94E70">
            <w:pPr>
              <w:spacing w:after="0" w:line="240" w:lineRule="auto"/>
              <w:rPr>
                <w:rFonts w:ascii="Calibri" w:eastAsia="Times New Roman" w:hAnsi="Calibri" w:cs="Times New Roman"/>
                <w:color w:val="000000"/>
              </w:rPr>
            </w:pPr>
            <w:r w:rsidRPr="00D94E70">
              <w:rPr>
                <w:rFonts w:ascii="Calibri" w:eastAsia="Times New Roman" w:hAnsi="Calibri" w:cs="Times New Roman"/>
                <w:color w:val="000000"/>
              </w:rPr>
              <w:t>Increase '14 vs. '13</w:t>
            </w:r>
          </w:p>
        </w:tc>
        <w:tc>
          <w:tcPr>
            <w:tcW w:w="826" w:type="dxa"/>
            <w:tcBorders>
              <w:top w:val="nil"/>
              <w:left w:val="nil"/>
              <w:bottom w:val="single" w:sz="12"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color w:val="FF0000"/>
              </w:rPr>
            </w:pPr>
            <w:r w:rsidRPr="00D94E70">
              <w:rPr>
                <w:rFonts w:ascii="Calibri" w:eastAsia="Times New Roman" w:hAnsi="Calibri" w:cs="Times New Roman"/>
                <w:b/>
                <w:bCs/>
                <w:color w:val="FF0000"/>
              </w:rPr>
              <w:t>10.60%</w:t>
            </w:r>
          </w:p>
        </w:tc>
        <w:tc>
          <w:tcPr>
            <w:tcW w:w="826" w:type="dxa"/>
            <w:tcBorders>
              <w:top w:val="nil"/>
              <w:left w:val="nil"/>
              <w:bottom w:val="single" w:sz="12"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color w:val="FF0000"/>
              </w:rPr>
            </w:pPr>
            <w:r w:rsidRPr="00D94E70">
              <w:rPr>
                <w:rFonts w:ascii="Calibri" w:eastAsia="Times New Roman" w:hAnsi="Calibri" w:cs="Times New Roman"/>
                <w:b/>
                <w:bCs/>
                <w:color w:val="FF0000"/>
              </w:rPr>
              <w:t>14.10%</w:t>
            </w:r>
          </w:p>
        </w:tc>
        <w:tc>
          <w:tcPr>
            <w:tcW w:w="826" w:type="dxa"/>
            <w:tcBorders>
              <w:top w:val="nil"/>
              <w:left w:val="nil"/>
              <w:bottom w:val="single" w:sz="12" w:space="0" w:color="auto"/>
              <w:right w:val="single" w:sz="8"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color w:val="FF0000"/>
              </w:rPr>
            </w:pPr>
            <w:r w:rsidRPr="00D94E70">
              <w:rPr>
                <w:rFonts w:ascii="Calibri" w:eastAsia="Times New Roman" w:hAnsi="Calibri" w:cs="Times New Roman"/>
                <w:b/>
                <w:bCs/>
                <w:color w:val="FF0000"/>
              </w:rPr>
              <w:t>43.40%</w:t>
            </w:r>
          </w:p>
        </w:tc>
        <w:tc>
          <w:tcPr>
            <w:tcW w:w="826" w:type="dxa"/>
            <w:tcBorders>
              <w:top w:val="nil"/>
              <w:left w:val="nil"/>
              <w:bottom w:val="single" w:sz="12" w:space="0" w:color="auto"/>
              <w:right w:val="single" w:sz="12" w:space="0" w:color="auto"/>
            </w:tcBorders>
            <w:shd w:val="clear" w:color="auto" w:fill="auto"/>
            <w:noWrap/>
            <w:vAlign w:val="center"/>
            <w:hideMark/>
          </w:tcPr>
          <w:p w:rsidR="00D94E70" w:rsidRPr="00D94E70" w:rsidRDefault="00D94E70" w:rsidP="00D94E70">
            <w:pPr>
              <w:spacing w:after="0" w:line="240" w:lineRule="auto"/>
              <w:jc w:val="center"/>
              <w:rPr>
                <w:rFonts w:ascii="Calibri" w:eastAsia="Times New Roman" w:hAnsi="Calibri" w:cs="Times New Roman"/>
                <w:b/>
                <w:bCs/>
                <w:color w:val="FF0000"/>
              </w:rPr>
            </w:pPr>
            <w:r w:rsidRPr="00D94E70">
              <w:rPr>
                <w:rFonts w:ascii="Calibri" w:eastAsia="Times New Roman" w:hAnsi="Calibri" w:cs="Times New Roman"/>
                <w:b/>
                <w:bCs/>
                <w:color w:val="FF0000"/>
              </w:rPr>
              <w:t>5.40%</w:t>
            </w:r>
          </w:p>
        </w:tc>
      </w:tr>
    </w:tbl>
    <w:p w:rsidR="00D94E70" w:rsidRDefault="00D94E70" w:rsidP="00D94E70">
      <w:pPr>
        <w:jc w:val="center"/>
      </w:pPr>
    </w:p>
    <w:p w:rsidR="00D94E70" w:rsidRDefault="00D94E70" w:rsidP="00D94E70"/>
    <w:p w:rsidR="00D94E70" w:rsidRDefault="00D94E70" w:rsidP="00D94E70"/>
    <w:p w:rsidR="00D94E70" w:rsidRDefault="00D94E70" w:rsidP="00D94E70">
      <w:r>
        <w:t>2</w:t>
      </w:r>
    </w:p>
    <w:p w:rsidR="00D94E70" w:rsidRPr="00D94E70" w:rsidRDefault="00D94E70" w:rsidP="00D94E70">
      <w:pPr>
        <w:rPr>
          <w:b/>
        </w:rPr>
      </w:pPr>
      <w:r w:rsidRPr="00D94E70">
        <w:rPr>
          <w:b/>
        </w:rPr>
        <w:lastRenderedPageBreak/>
        <w:t>Availability and Use of Marihuana and Alcohol by Drivers</w:t>
      </w:r>
    </w:p>
    <w:p w:rsidR="00D94E70" w:rsidRDefault="00D94E70" w:rsidP="00D94E70">
      <w:r>
        <w:t xml:space="preserve">Alcohol availability is widespread in the US with estimated per capita alcohol consumption of 2.33 gallons for adults over the age of 14 in 2012.  This is more than 1 ounce per day per person.  It is difficult to drive a city block in urban America and not find a place to buy alcohol. As we have mentioned, this availability has led to 31% of the motor vehicle fatalities related to DUI driving. </w:t>
      </w:r>
    </w:p>
    <w:p w:rsidR="00830DE8" w:rsidRPr="005950E1" w:rsidRDefault="00D94E70" w:rsidP="00830DE8">
      <w:pPr>
        <w:rPr>
          <w:rFonts w:eastAsia="Times New Roman" w:cs="Arial"/>
          <w:color w:val="000000"/>
        </w:rPr>
      </w:pPr>
      <w:r w:rsidRPr="005950E1">
        <w:t>Contrast this to the availability of marihuana to the same group of persons</w:t>
      </w:r>
      <w:r w:rsidRPr="005950E1">
        <w:rPr>
          <w:b/>
        </w:rPr>
        <w:t xml:space="preserve">. </w:t>
      </w:r>
      <w:r w:rsidR="00830DE8" w:rsidRPr="005950E1">
        <w:rPr>
          <w:rStyle w:val="Strong"/>
          <w:rFonts w:eastAsia="Times New Roman" w:cs="Arial"/>
          <w:b w:val="0"/>
          <w:color w:val="000000"/>
        </w:rPr>
        <w:t>4 states</w:t>
      </w:r>
      <w:r w:rsidR="00830DE8" w:rsidRPr="005950E1">
        <w:rPr>
          <w:rFonts w:eastAsia="Times New Roman" w:cs="Arial"/>
          <w:b/>
          <w:color w:val="000000"/>
        </w:rPr>
        <w:t xml:space="preserve"> </w:t>
      </w:r>
      <w:r w:rsidR="00830DE8" w:rsidRPr="005950E1">
        <w:rPr>
          <w:rFonts w:eastAsia="Times New Roman" w:cs="Arial"/>
          <w:color w:val="000000"/>
        </w:rPr>
        <w:t xml:space="preserve">(Colorado, Washington, Alaska, and Oregon) + Washington DC - </w:t>
      </w:r>
      <w:r w:rsidR="00830DE8" w:rsidRPr="005950E1">
        <w:rPr>
          <w:rStyle w:val="Strong"/>
          <w:rFonts w:eastAsia="Times New Roman" w:cs="Arial"/>
          <w:b w:val="0"/>
          <w:color w:val="000000"/>
        </w:rPr>
        <w:t xml:space="preserve">have recreational use approved, but only two had it available in 2014. Another 23 </w:t>
      </w:r>
      <w:r w:rsidR="005950E1" w:rsidRPr="005950E1">
        <w:rPr>
          <w:rStyle w:val="Strong"/>
          <w:rFonts w:eastAsia="Times New Roman" w:cs="Arial"/>
          <w:b w:val="0"/>
          <w:color w:val="000000"/>
        </w:rPr>
        <w:t>states</w:t>
      </w:r>
      <w:r w:rsidR="005950E1" w:rsidRPr="005950E1">
        <w:rPr>
          <w:rFonts w:eastAsia="Times New Roman" w:cs="Arial"/>
          <w:b/>
          <w:color w:val="000000"/>
        </w:rPr>
        <w:t xml:space="preserve"> </w:t>
      </w:r>
      <w:r w:rsidR="005950E1" w:rsidRPr="005950E1">
        <w:rPr>
          <w:rFonts w:eastAsia="Times New Roman" w:cs="Arial"/>
          <w:color w:val="000000"/>
        </w:rPr>
        <w:t>and</w:t>
      </w:r>
      <w:r w:rsidR="005950E1" w:rsidRPr="005950E1">
        <w:rPr>
          <w:rFonts w:eastAsia="Times New Roman" w:cs="Arial"/>
          <w:b/>
          <w:color w:val="000000"/>
        </w:rPr>
        <w:t xml:space="preserve"> </w:t>
      </w:r>
      <w:r w:rsidR="005950E1" w:rsidRPr="005950E1">
        <w:rPr>
          <w:rFonts w:eastAsia="Times New Roman" w:cs="Arial"/>
          <w:color w:val="000000"/>
        </w:rPr>
        <w:t>Washington DC</w:t>
      </w:r>
      <w:r w:rsidR="005950E1" w:rsidRPr="005950E1">
        <w:rPr>
          <w:rFonts w:eastAsia="Times New Roman" w:cs="Arial"/>
          <w:b/>
          <w:color w:val="000000"/>
        </w:rPr>
        <w:t>,</w:t>
      </w:r>
      <w:r w:rsidR="00830DE8" w:rsidRPr="005950E1">
        <w:rPr>
          <w:rFonts w:eastAsia="Times New Roman" w:cs="Arial"/>
          <w:b/>
          <w:color w:val="000000"/>
        </w:rPr>
        <w:t xml:space="preserve"> </w:t>
      </w:r>
      <w:r w:rsidR="00830DE8" w:rsidRPr="005950E1">
        <w:rPr>
          <w:rStyle w:val="Strong"/>
          <w:rFonts w:eastAsia="Times New Roman" w:cs="Arial"/>
          <w:b w:val="0"/>
          <w:color w:val="000000"/>
        </w:rPr>
        <w:t>have medical mj approval</w:t>
      </w:r>
      <w:r w:rsidR="00830DE8" w:rsidRPr="005950E1">
        <w:rPr>
          <w:rFonts w:eastAsia="Times New Roman" w:cs="Arial"/>
          <w:b/>
          <w:color w:val="000000"/>
        </w:rPr>
        <w:t>:</w:t>
      </w:r>
      <w:r w:rsidR="00830DE8" w:rsidRPr="005950E1">
        <w:rPr>
          <w:rFonts w:eastAsia="Times New Roman" w:cs="Arial"/>
          <w:color w:val="000000"/>
        </w:rPr>
        <w:t xml:space="preserve">  </w:t>
      </w:r>
    </w:p>
    <w:p w:rsidR="00D94E70" w:rsidRDefault="00D94E70" w:rsidP="00D94E70">
      <w:r>
        <w:t xml:space="preserve">This is a miniscule amount of availability that has already climbed to 15% of the drivers in fatal crashes, about half the DUI driver percentage. Basically, marihuana is not legally or easily available now for use by the vast majority of US citizens and drivers. </w:t>
      </w:r>
    </w:p>
    <w:p w:rsidR="00D94E70" w:rsidRPr="009F05AA" w:rsidRDefault="00830DE8" w:rsidP="00D94E70">
      <w:pPr>
        <w:rPr>
          <w:rFonts w:ascii="Arial" w:eastAsia="Times New Roman" w:hAnsi="Arial" w:cs="Arial"/>
          <w:color w:val="000000"/>
        </w:rPr>
      </w:pPr>
      <w:r>
        <w:rPr>
          <w:color w:val="000000"/>
        </w:rPr>
        <w:t>With alcohol legally available in all fifty states and marihuana use in possibly 10% of the US population</w:t>
      </w:r>
      <w:r w:rsidR="009F05AA">
        <w:rPr>
          <w:color w:val="000000"/>
        </w:rPr>
        <w:t xml:space="preserve"> mainly for medical use</w:t>
      </w:r>
      <w:r>
        <w:rPr>
          <w:color w:val="000000"/>
        </w:rPr>
        <w:t xml:space="preserve">, it is shocking to see the level </w:t>
      </w:r>
      <w:r w:rsidR="009F05AA">
        <w:rPr>
          <w:color w:val="000000"/>
        </w:rPr>
        <w:t xml:space="preserve">of </w:t>
      </w:r>
      <w:r>
        <w:rPr>
          <w:color w:val="000000"/>
        </w:rPr>
        <w:t xml:space="preserve">marihuana-induced motor vehicle fatalities already created with legal availability in less than half of all states.  </w:t>
      </w:r>
      <w:r w:rsidR="00D94E70">
        <w:t xml:space="preserve">It appears that marihuana is a very dangerous hallucinogen when it is mixed with driving. </w:t>
      </w:r>
    </w:p>
    <w:p w:rsidR="00D94E70" w:rsidRPr="00D94E70" w:rsidRDefault="00D94E70" w:rsidP="00D94E70">
      <w:pPr>
        <w:rPr>
          <w:b/>
        </w:rPr>
      </w:pPr>
      <w:r w:rsidRPr="00D94E70">
        <w:rPr>
          <w:b/>
        </w:rPr>
        <w:t>Summary</w:t>
      </w:r>
    </w:p>
    <w:p w:rsidR="00D94E70" w:rsidRDefault="00D94E70" w:rsidP="00D94E70">
      <w:r>
        <w:t>With many calling for the legalization of marihuana, they might want to consider recently released data from the NHTSA website. The 2014 data shows that in Washington State, a state where marihuana is legal for both recreational and medical use, the drivers in fatal crashes with known marihuana in their system has risen to 27%, nearly the level of DUI driving at 29%.  This is what happen in just the first full year of the new WA law with recreational dispensaries opening on July 8, 2014.  Compare this to the national data where marihuana has risen to 15%, about half of the national level of 31% for DUI driving, with only two states (WA and CO) having recreational sales being legal in 2014.  Oregon began recreational sales on 10/1/15 and in Alaska has yet to set a date for recreational sales.</w:t>
      </w:r>
    </w:p>
    <w:p w:rsidR="00D94E70" w:rsidRDefault="00D94E70" w:rsidP="00D94E70">
      <w:r>
        <w:t xml:space="preserve">Further data shows that marihuana driver’s impairment in fatal crashes is very much like that of DUI alcohol drivers and </w:t>
      </w:r>
      <w:r w:rsidR="0080703F">
        <w:t xml:space="preserve">not at all like non-drinking drivers. </w:t>
      </w:r>
      <w:r>
        <w:t xml:space="preserve">Non-drinking drivers are more likely to collide with other vehicles, pedestrians, and bicyclists while marihuana and alcohol impaired drivers are more likely to rollover/overturn and veer off the road into posts, trees and into ditches. Further, the marihuana and alcohol impaired drivers were speeding much more often than non-drinking drivers.  </w:t>
      </w:r>
    </w:p>
    <w:p w:rsidR="00D94E70" w:rsidRDefault="00D94E70" w:rsidP="00D94E70">
      <w:r>
        <w:t>This furthers the evidence that marihuana drivers have a speed perception problem along with an attention span problem that quite often leads to going off the road and rolling over.</w:t>
      </w:r>
    </w:p>
    <w:p w:rsidR="009F05AA" w:rsidRDefault="00D94E70" w:rsidP="00D94E70">
      <w:pPr>
        <w:rPr>
          <w:color w:val="000000"/>
        </w:rPr>
      </w:pPr>
      <w:r>
        <w:t xml:space="preserve">We believe that the data shows the dangerousness of marihuana and driving and the potential for large increases in motor vehicle fatalities as marihuana becomes more popular and is legalized for use in other states. It is not a harmless hallucinogen, but one that may soon rival alcohol as the leading cause of preventable traffic fatalities. The data in this study suggests that the increasing availability marihuana will result in a tsunami of </w:t>
      </w:r>
      <w:r w:rsidR="009F05AA">
        <w:rPr>
          <w:color w:val="000000"/>
        </w:rPr>
        <w:t>marihuana-induced fatalities</w:t>
      </w:r>
      <w:r w:rsidR="009E2E33">
        <w:rPr>
          <w:color w:val="000000"/>
        </w:rPr>
        <w:t>.</w:t>
      </w:r>
    </w:p>
    <w:p w:rsidR="005D0609" w:rsidRPr="00D94E70" w:rsidRDefault="00B61889" w:rsidP="00D94E70">
      <w:r>
        <w:t>----------------------------------------------------------------------------------------------------------------------------------------------------------</w:t>
      </w:r>
      <w:r w:rsidR="005D0609">
        <w:t>2014 data for this study was from the NHTSA FARS Query System.</w:t>
      </w:r>
    </w:p>
    <w:p w:rsidR="009F05AA" w:rsidRDefault="00D94E70" w:rsidP="00C65ACF">
      <w:pPr>
        <w:spacing w:after="0" w:line="312" w:lineRule="atLeast"/>
        <w:jc w:val="center"/>
        <w:rPr>
          <w:rFonts w:ascii="Arial" w:eastAsia="Times New Roman" w:hAnsi="Arial" w:cs="Arial"/>
          <w:color w:val="373737"/>
        </w:rPr>
      </w:pPr>
      <w:r w:rsidRPr="00D94E70">
        <w:rPr>
          <w:rFonts w:eastAsia="Times New Roman"/>
          <w:b/>
          <w:bCs/>
          <w:color w:val="171717"/>
          <w:u w:val="single"/>
          <w:shd w:val="clear" w:color="auto" w:fill="F7F7F7"/>
        </w:rPr>
        <w:t>For More Information on the Study or to Schedule an Interview Please Contact</w:t>
      </w:r>
      <w:proofErr w:type="gramStart"/>
      <w:r w:rsidRPr="00D94E70">
        <w:rPr>
          <w:rFonts w:eastAsia="Times New Roman"/>
          <w:b/>
          <w:bCs/>
          <w:color w:val="171717"/>
          <w:u w:val="single"/>
          <w:shd w:val="clear" w:color="auto" w:fill="F7F7F7"/>
        </w:rPr>
        <w:t>:</w:t>
      </w:r>
      <w:proofErr w:type="gramEnd"/>
      <w:r w:rsidRPr="00D94E70">
        <w:rPr>
          <w:rFonts w:ascii="Arial" w:eastAsia="Times New Roman" w:hAnsi="Arial" w:cs="Arial"/>
          <w:color w:val="373737"/>
        </w:rPr>
        <w:br/>
      </w:r>
      <w:r w:rsidRPr="00D94E70">
        <w:rPr>
          <w:rFonts w:eastAsia="Times New Roman"/>
          <w:color w:val="171717"/>
          <w:shd w:val="clear" w:color="auto" w:fill="F7F7F7"/>
        </w:rPr>
        <w:t xml:space="preserve">Al Crancer Jr.:   925-324-2093     </w:t>
      </w:r>
      <w:hyperlink r:id="rId4" w:history="1">
        <w:r w:rsidRPr="00D94E70">
          <w:rPr>
            <w:rFonts w:eastAsia="Times New Roman"/>
            <w:color w:val="0563C1"/>
            <w:u w:val="single"/>
            <w:shd w:val="clear" w:color="auto" w:fill="F7F7F7"/>
          </w:rPr>
          <w:t>acrancer@bureaucat.com</w:t>
        </w:r>
      </w:hyperlink>
    </w:p>
    <w:p w:rsidR="00D94E70" w:rsidRDefault="009F05AA" w:rsidP="009F05AA">
      <w:pPr>
        <w:spacing w:after="0" w:line="312" w:lineRule="atLeast"/>
        <w:rPr>
          <w:rFonts w:eastAsia="Times New Roman"/>
          <w:color w:val="171717"/>
          <w:shd w:val="clear" w:color="auto" w:fill="F7F7F7"/>
        </w:rPr>
      </w:pPr>
      <w:r>
        <w:rPr>
          <w:rFonts w:ascii="Arial" w:eastAsia="Times New Roman" w:hAnsi="Arial" w:cs="Arial"/>
          <w:color w:val="373737"/>
        </w:rPr>
        <w:t xml:space="preserve">                                              </w:t>
      </w:r>
      <w:r w:rsidR="00D94E70" w:rsidRPr="00D94E70">
        <w:rPr>
          <w:rFonts w:eastAsia="Times New Roman"/>
          <w:color w:val="171717"/>
          <w:shd w:val="clear" w:color="auto" w:fill="F7F7F7"/>
        </w:rPr>
        <w:t>Alan Crancer:   601-594-8015      </w:t>
      </w:r>
      <w:hyperlink r:id="rId5" w:history="1">
        <w:r w:rsidR="00D94E70" w:rsidRPr="00D94E70">
          <w:rPr>
            <w:rFonts w:eastAsia="Times New Roman"/>
            <w:color w:val="0563C1"/>
            <w:u w:val="single"/>
            <w:shd w:val="clear" w:color="auto" w:fill="F7F7F7"/>
          </w:rPr>
          <w:t>acrancer@gmail.com</w:t>
        </w:r>
      </w:hyperlink>
      <w:r w:rsidR="00D94E70" w:rsidRPr="00D94E70">
        <w:rPr>
          <w:rFonts w:eastAsia="Times New Roman"/>
          <w:color w:val="171717"/>
          <w:shd w:val="clear" w:color="auto" w:fill="F7F7F7"/>
        </w:rPr>
        <w:t> </w:t>
      </w:r>
    </w:p>
    <w:p w:rsidR="00C65ACF" w:rsidRPr="005D0609" w:rsidRDefault="009F05AA" w:rsidP="005D0609">
      <w:pPr>
        <w:rPr>
          <w:rFonts w:ascii="Arial" w:eastAsia="Times New Roman" w:hAnsi="Arial" w:cs="Arial"/>
          <w:color w:val="000000"/>
        </w:rPr>
      </w:pPr>
      <w:r>
        <w:rPr>
          <w:rFonts w:eastAsia="Times New Roman"/>
          <w:color w:val="171717"/>
          <w:shd w:val="clear" w:color="auto" w:fill="F7F7F7"/>
        </w:rPr>
        <w:t xml:space="preserve">                                                         Ph</w:t>
      </w:r>
      <w:r w:rsidR="00C65ACF" w:rsidRPr="009F05AA">
        <w:rPr>
          <w:rFonts w:eastAsia="Times New Roman"/>
          <w:color w:val="171717"/>
          <w:shd w:val="clear" w:color="auto" w:fill="F7F7F7"/>
        </w:rPr>
        <w:t>illip Drum:</w:t>
      </w:r>
      <w:r w:rsidRPr="009F05AA">
        <w:rPr>
          <w:color w:val="000000"/>
        </w:rPr>
        <w:t xml:space="preserve"> (414) 768-2256</w:t>
      </w:r>
      <w:r w:rsidRPr="009F05AA">
        <w:rPr>
          <w:rFonts w:eastAsia="Times New Roman"/>
          <w:color w:val="171717"/>
          <w:shd w:val="clear" w:color="auto" w:fill="F7F7F7"/>
        </w:rPr>
        <w:t xml:space="preserve"> </w:t>
      </w:r>
      <w:r>
        <w:rPr>
          <w:rFonts w:eastAsia="Times New Roman"/>
          <w:color w:val="171717"/>
          <w:shd w:val="clear" w:color="auto" w:fill="F7F7F7"/>
        </w:rPr>
        <w:t xml:space="preserve">    </w:t>
      </w:r>
      <w:r w:rsidR="00C65ACF" w:rsidRPr="009F05AA">
        <w:t xml:space="preserve"> </w:t>
      </w:r>
      <w:hyperlink r:id="rId6" w:history="1">
        <w:r w:rsidR="00C65ACF" w:rsidRPr="009F05AA">
          <w:rPr>
            <w:rStyle w:val="Hyperlink"/>
            <w:rFonts w:eastAsia="Times New Roman"/>
            <w:shd w:val="clear" w:color="auto" w:fill="F7F7F7"/>
          </w:rPr>
          <w:t>phillipdrum@comcast.net</w:t>
        </w:r>
      </w:hyperlink>
      <w:bookmarkStart w:id="0" w:name="_GoBack"/>
      <w:bookmarkEnd w:id="0"/>
    </w:p>
    <w:p w:rsidR="00486014" w:rsidRDefault="00486014" w:rsidP="00486014">
      <w:pPr>
        <w:jc w:val="center"/>
        <w:rPr>
          <w:b/>
          <w:color w:val="C00000"/>
          <w:sz w:val="24"/>
          <w:szCs w:val="24"/>
        </w:rPr>
      </w:pPr>
      <w:hyperlink r:id="rId7" w:tgtFrame="_blank" w:history="1">
        <w:r w:rsidRPr="00486014">
          <w:rPr>
            <w:rStyle w:val="Hyperlink"/>
            <w:b/>
            <w:color w:val="C00000"/>
            <w:sz w:val="24"/>
            <w:szCs w:val="24"/>
          </w:rPr>
          <w:t>www.duideathsmatter.com</w:t>
        </w:r>
      </w:hyperlink>
    </w:p>
    <w:p w:rsidR="00BE2B34" w:rsidRDefault="00486014" w:rsidP="00D94E70">
      <w:r>
        <w:t>3</w:t>
      </w:r>
    </w:p>
    <w:sectPr w:rsidR="00BE2B34" w:rsidSect="00D94E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70"/>
    <w:rsid w:val="00371546"/>
    <w:rsid w:val="003B6BAD"/>
    <w:rsid w:val="00486014"/>
    <w:rsid w:val="005950E1"/>
    <w:rsid w:val="005D0609"/>
    <w:rsid w:val="005E0273"/>
    <w:rsid w:val="00671631"/>
    <w:rsid w:val="007C3792"/>
    <w:rsid w:val="0080703F"/>
    <w:rsid w:val="00830DE8"/>
    <w:rsid w:val="009E2E33"/>
    <w:rsid w:val="009F05AA"/>
    <w:rsid w:val="00AD676A"/>
    <w:rsid w:val="00B61889"/>
    <w:rsid w:val="00BE2B34"/>
    <w:rsid w:val="00C54EE6"/>
    <w:rsid w:val="00C65ACF"/>
    <w:rsid w:val="00D631FE"/>
    <w:rsid w:val="00D94E70"/>
    <w:rsid w:val="00F6219E"/>
    <w:rsid w:val="00F7105B"/>
    <w:rsid w:val="00FC4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32FEA-2019-4AD7-9773-2149BB78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ACF"/>
    <w:rPr>
      <w:color w:val="0563C1" w:themeColor="hyperlink"/>
      <w:u w:val="single"/>
    </w:rPr>
  </w:style>
  <w:style w:type="character" w:styleId="Strong">
    <w:name w:val="Strong"/>
    <w:basedOn w:val="DefaultParagraphFont"/>
    <w:uiPriority w:val="22"/>
    <w:qFormat/>
    <w:rsid w:val="00830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91470">
      <w:bodyDiv w:val="1"/>
      <w:marLeft w:val="0"/>
      <w:marRight w:val="0"/>
      <w:marTop w:val="0"/>
      <w:marBottom w:val="0"/>
      <w:divBdr>
        <w:top w:val="none" w:sz="0" w:space="0" w:color="auto"/>
        <w:left w:val="none" w:sz="0" w:space="0" w:color="auto"/>
        <w:bottom w:val="none" w:sz="0" w:space="0" w:color="auto"/>
        <w:right w:val="none" w:sz="0" w:space="0" w:color="auto"/>
      </w:divBdr>
    </w:div>
    <w:div w:id="1220169490">
      <w:bodyDiv w:val="1"/>
      <w:marLeft w:val="0"/>
      <w:marRight w:val="0"/>
      <w:marTop w:val="0"/>
      <w:marBottom w:val="0"/>
      <w:divBdr>
        <w:top w:val="none" w:sz="0" w:space="0" w:color="auto"/>
        <w:left w:val="none" w:sz="0" w:space="0" w:color="auto"/>
        <w:bottom w:val="none" w:sz="0" w:space="0" w:color="auto"/>
        <w:right w:val="none" w:sz="0" w:space="0" w:color="auto"/>
      </w:divBdr>
    </w:div>
    <w:div w:id="1419591732">
      <w:bodyDiv w:val="1"/>
      <w:marLeft w:val="0"/>
      <w:marRight w:val="0"/>
      <w:marTop w:val="0"/>
      <w:marBottom w:val="0"/>
      <w:divBdr>
        <w:top w:val="none" w:sz="0" w:space="0" w:color="auto"/>
        <w:left w:val="none" w:sz="0" w:space="0" w:color="auto"/>
        <w:bottom w:val="none" w:sz="0" w:space="0" w:color="auto"/>
        <w:right w:val="none" w:sz="0" w:space="0" w:color="auto"/>
      </w:divBdr>
    </w:div>
    <w:div w:id="1623878567">
      <w:bodyDiv w:val="1"/>
      <w:marLeft w:val="0"/>
      <w:marRight w:val="0"/>
      <w:marTop w:val="0"/>
      <w:marBottom w:val="0"/>
      <w:divBdr>
        <w:top w:val="none" w:sz="0" w:space="0" w:color="auto"/>
        <w:left w:val="none" w:sz="0" w:space="0" w:color="auto"/>
        <w:bottom w:val="none" w:sz="0" w:space="0" w:color="auto"/>
        <w:right w:val="none" w:sz="0" w:space="0" w:color="auto"/>
      </w:divBdr>
    </w:div>
    <w:div w:id="201040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20.rs6.net/tn.jsp?f=001WCtmjdjk8p4eyRVffPtoYLNznz36yMbiCXawxGpou15SAPWXgEgiGRbnPM3E1a0eZ9wZvgNJuk5GiCOunpRgxl4T64m_kbIUOfw67cIANNP4p5BQYerrOmlPMrb8N447o2y3z3E_P908F-n2jszbJr02e8A5rKo9Ic6xA-d0IIDekKaxMuUA9Q==&amp;c=&amp;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illipdrum@comcast.net" TargetMode="External"/><Relationship Id="rId5" Type="http://schemas.openxmlformats.org/officeDocument/2006/relationships/hyperlink" Target="mailto:acrancer@gmail.com" TargetMode="External"/><Relationship Id="rId4" Type="http://schemas.openxmlformats.org/officeDocument/2006/relationships/hyperlink" Target="mailto:acrancer@bureaucat.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acrancer@bureaucat.com</dc:creator>
  <cp:keywords/>
  <dc:description/>
  <cp:lastModifiedBy>acrancer@bureaucat.com</cp:lastModifiedBy>
  <cp:revision>23</cp:revision>
  <dcterms:created xsi:type="dcterms:W3CDTF">2015-12-14T21:56:00Z</dcterms:created>
  <dcterms:modified xsi:type="dcterms:W3CDTF">2015-12-16T01:27:00Z</dcterms:modified>
</cp:coreProperties>
</file>